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Relationships xmlns="http://schemas.openxmlformats.org/package/2006/relationships"><Relationship Id="document" Type="http://schemas.openxmlformats.org/officeDocument/2006/relationships/officeDocument" Target="word/document.xml"/><Relationship Id="core"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Здоровье по обе стороны угля</w:t>
      </w:r>
    </w:p>
    <w:p>
      <w:pPr>
        <w:pStyle w:val="Subtitle"/>
      </w:pPr>
      <w:r>
        <w:t xml:space="preserve">Работники, жители угольных территорий и швейцарский кантон, где находится офис продавца угля</w:t>
      </w:r>
    </w:p>
    <w:p>
      <w:pPr>
        <w:pStyle w:val="Edition"/>
      </w:pPr>
      <w:r>
        <w:t xml:space="preserve">Наталья Зубкова · 24 октября 2026 года · RU V0.7 · для просмотра</w:t>
      </w:r>
    </w:p>
    <w:p>
      <w:pPr>
        <w:pStyle w:val="Heading1"/>
      </w:pPr>
      <w:bookmarkStart w:id="1" w:name="author_note"/>
      <w:r>
        <w:t xml:space="preserve">От автора</w:t>
      </w:r>
      <w:bookmarkEnd w:id="1"/>
    </w:p>
    <w:p>
      <w:pPr>
        <w:pStyle w:val="Normal"/>
      </w:pPr>
      <w:r>
        <w:t xml:space="preserve">Я жила и работала в Киселёвске, где уголь добывают рядом с домами. Я снимала чёрный снег, пыль, взрывы и горящие отвалы. Но за всем этим всегда были люди: соседи, знакомые, семьи, которые приглашали меня в свои дома и рассказывали о своей жизни.</w:t>
      </w:r>
    </w:p>
    <w:p>
      <w:pPr>
        <w:pStyle w:val="Normal"/>
      </w:pPr>
      <w:r>
        <w:t xml:space="preserve">Вокруг я видела много больных людей и ранних смертей. Среди знакомых мне семей не было ни одной, где кто-то не болел бы раком или уже не умер от него. О болезнях говорили постоянно, и в какой-то момент я заметила, насколько привычными стали эти разговоры.</w:t>
      </w:r>
    </w:p>
    <w:p>
      <w:pPr>
        <w:pStyle w:val="Normal"/>
      </w:pPr>
      <w:r>
        <w:t xml:space="preserve">Болезни работников предприятий и жителей — это тоже цена угля. И платят её совсем не те, кому принадлежат угольные предприятия.</w:t>
      </w:r>
    </w:p>
    <w:p>
      <w:pPr>
        <w:pStyle w:val="Normal"/>
      </w:pPr>
      <w:r>
        <w:t xml:space="preserve">Я хочу понять, что известно о здоровье тех, кто добывает уголь, перерабатывает его или просто живёт рядом с предприятиями. Какие последствия изучены? Что происходит с человеком после того, как он уходит с работы? И насколько полно всё это отражено в официальных отчётах?</w:t>
      </w:r>
    </w:p>
    <w:p>
      <w:pPr>
        <w:pStyle w:val="Normal"/>
      </w:pPr>
      <w:r>
        <w:t xml:space="preserve">Поэтому в этой статье я обратилась к исследованиям из разных стран и к данным по Кузбассу. Для меня за каждой цифрой стоят люди, которых я знала, и вопросы, на которые тогда не могла ответить.</w:t>
      </w:r>
    </w:p>
    <w:p>
      <w:pPr>
        <w:pStyle w:val="Normal"/>
      </w:pPr>
      <w:r>
        <w:t xml:space="preserve">Сравнивать я буду в том числе с Аппенцеллем-Ауссерроденом — швейцарским кантоном, где в общине Тойфен находится офис MIR Trade AG. Эта компания торговала большими объёмами российского угля. На её сайте говорится почти о миллионе тонн ежемесячных поставок через Балтийский регион; в отчёте британского покупателя она названа поставщиком российского угля. Я выбрала этот кантон, потому что хочу посмотреть на обе стороны одной торговли: как живут люди там, где наш уголь добывали, и там, откуда им торговали. Уголь этих поставок добывали в России, а офис торговавшей им компании находится здесь. </w:t>
      </w:r>
      <w:hyperlink w:anchor="source_1">
        <w:r>
          <w:rPr>
            <w:rStyle w:val="Hyperlink"/>
          </w:rPr>
          <w:t>[1]</w:t>
        </w:r>
      </w:hyperlink>
      <w:r>
        <w:t xml:space="preserve"> </w:t>
      </w:r>
      <w:hyperlink w:anchor="source_2">
        <w:r>
          <w:rPr>
            <w:rStyle w:val="Hyperlink"/>
          </w:rPr>
          <w:t>[2]</w:t>
        </w:r>
      </w:hyperlink>
      <w:r>
        <w:t xml:space="preserve"> </w:t>
      </w:r>
      <w:hyperlink w:anchor="source_3">
        <w:r>
          <w:rPr>
            <w:rStyle w:val="Hyperlink"/>
          </w:rPr>
          <w:t>[3]</w:t>
        </w:r>
      </w:hyperlink>
      <w:r>
        <w:t xml:space="preserve"/>
      </w:r>
    </w:p>
    <w:p>
      <w:pPr>
        <w:pStyle w:val="Normal"/>
      </w:pPr>
      <w:r>
        <w:t xml:space="preserve">Наталья Зубкова</w:t>
      </w:r>
    </w:p>
    <w:p>
      <w:pPr>
        <w:pStyle w:val="Normal"/>
      </w:pPr>
      <w:r>
        <w:t xml:space="preserve">Сведения о MIR Trade взяты из документов разных лет. Адрес офиса указан на сайте компании, страница сохранена 21 октября 2026 года. Страница о рынках сбыта проверена 24 октября 2026 года: компания сообщает почти о миллионе тонн ежемесячных поставок через Балтийский регион, но не указывает, к какому году относится этот объём. В сообщении Hargreaves Services от 22 февраля 2011 года MIR Trade названа поставщиком российского угля. Эти сведения подтверждают торговлю российским углём; происхождение конкретных поставок из Кузбасса они не устанавливают. </w:t>
      </w:r>
      <w:hyperlink w:anchor="source_1">
        <w:r>
          <w:rPr>
            <w:rStyle w:val="Hyperlink"/>
          </w:rPr>
          <w:t>[1]</w:t>
        </w:r>
      </w:hyperlink>
      <w:r>
        <w:t xml:space="preserve"> </w:t>
      </w:r>
      <w:hyperlink w:anchor="source_2">
        <w:r>
          <w:rPr>
            <w:rStyle w:val="Hyperlink"/>
          </w:rPr>
          <w:t>[2]</w:t>
        </w:r>
      </w:hyperlink>
      <w:r>
        <w:t xml:space="preserve"> </w:t>
      </w:r>
      <w:hyperlink w:anchor="source_3">
        <w:r>
          <w:rPr>
            <w:rStyle w:val="Hyperlink"/>
          </w:rPr>
          <w:t>[3]</w:t>
        </w:r>
      </w:hyperlink>
      <w:r>
        <w:t xml:space="preserve"/>
      </w:r>
    </w:p>
    <w:p>
      <w:pPr>
        <w:pStyle w:val="Normal"/>
      </w:pPr>
      <w:r>
        <w:t xml:space="preserve">В исследованиях о работниках угольной промышленности и жителях соседних территорий повторяются одни и те же темы: кашель, хронические болезни дыхания, сердечно-сосудистая смертность, рак лёгкого. В пакистанской программе обследований туберкулёз находили и у шахтёров, и у жителей. Отдельные разделы посвящены детям, психическому здоровью, суицидам и ВИЧ.</w:t>
      </w:r>
    </w:p>
    <w:p>
      <w:pPr>
        <w:pStyle w:val="Normal"/>
      </w:pPr>
      <w:r>
        <w:t xml:space="preserve">Ниже — конкретные результаты из разных стран, данные Кузбасса и сравнение с Аппенцеллем-Ауссерроденом. Для территориальных показателей взяты годы не позднее 2021-го: я рассматриваю довоенный период, до начала полномасштабной войны России против Украины. Это временная граница сравнения; более поздние изменения в него не входят. У каждой цифры указаны период, группа людей и единица измерения; источники открываются по номерам.</w:t>
      </w:r>
    </w:p>
    <w:p>
      <w:pPr>
        <w:pStyle w:val="Normal"/>
      </w:pPr>
      <w:r>
        <w:t xml:space="preserve">Сравнение с кантоном помогает увидеть условия жизни там, где расположен офис продавца российского угля. Кантон не подбирался как контрольная территория для Кузбасса; разницу показателей нельзя целиком объяснить угледобычей.</w:t>
      </w:r>
    </w:p>
    <w:p>
      <w:pPr>
        <w:pStyle w:val="Heading1"/>
      </w:pPr>
      <w:bookmarkStart w:id="2" w:name="shared"/>
      <w:r>
        <w:t xml:space="preserve">Какие проблемы со здоровьем находят у работников и жителей</w:t>
      </w:r>
      <w:bookmarkEnd w:id="2"/>
    </w:p>
    <w:p>
      <w:pPr>
        <w:pStyle w:val="Normal"/>
      </w:pPr>
      <w:r>
        <w:t xml:space="preserve">Уголь проходит через шахту или разрез, фабрику, склад, терминал, коксохимическое производство. У работников и соседей предприятий исследуют разные уровни воздействия, но многие вопросы оказываются общими. Ниже результаты для работников и жителей показаны рядом.</w:t>
      </w:r>
    </w:p>
    <w:p>
      <w:pPr>
        <w:pStyle w:val="Caption"/>
      </w:pPr>
      <w:r>
        <w:t xml:space="preserve">Общие проблемы работников и жителей: результаты исследований рядом</w:t>
      </w:r>
    </w:p>
    <w:tbl>
      <w:tblPr>
        <w:tblW w:w="9638" w:type="dxa"/>
        <w:tblLayout w:type="fixed"/>
        <w:tblBorders>
          <w:top w:val="single" w:sz="4" w:color="B8CBC1"/>
          <w:bottom w:val="single" w:sz="4" w:color="B8CBC1"/>
          <w:left w:val="single" w:sz="4" w:color="B8CBC1"/>
          <w:right w:val="single" w:sz="4" w:color="B8CBC1"/>
          <w:insideH w:val="single" w:sz="4" w:color="B8CBC1"/>
          <w:insideV w:val="single" w:sz="4" w:color="B8CBC1"/>
        </w:tblBorders>
        <w:tblCellMar>
          <w:top w:w="110" w:type="dxa"/>
          <w:left w:w="130" w:type="dxa"/>
          <w:bottom w:w="110" w:type="dxa"/>
          <w:right w:w="130" w:type="dxa"/>
        </w:tblCellMar>
      </w:tblPr>
      <w:tblGrid>
        <w:gridCol w:w="1800"/>
        <w:gridCol w:w="3919"/>
        <w:gridCol w:w="3919"/>
      </w:tblGrid>
      <w:tr>
        <w:trPr>
          <w:cantSplit/>
          <w:tblHeader/>
        </w:trPr>
        <w:tc>
          <w:tcPr>
            <w:tcW w:w="1800" w:type="dxa"/>
            <w:shd w:fill="E7EFE9"/>
          </w:tcPr>
          <w:p>
            <w:pPr>
              <w:pStyle w:val="TableHeading"/>
            </w:pPr>
            <w:r>
              <w:t xml:space="preserve">Проблема</w:t>
            </w:r>
          </w:p>
        </w:tc>
        <w:tc>
          <w:tcPr>
            <w:tcW w:w="3919" w:type="dxa"/>
            <w:shd w:fill="E7EFE9"/>
          </w:tcPr>
          <w:p>
            <w:pPr>
              <w:pStyle w:val="TableHeading"/>
            </w:pPr>
            <w:r>
              <w:t xml:space="preserve">Работники угольной промышленности</w:t>
            </w:r>
          </w:p>
        </w:tc>
        <w:tc>
          <w:tcPr>
            <w:tcW w:w="3919" w:type="dxa"/>
            <w:shd w:fill="E7EFE9"/>
          </w:tcPr>
          <w:p>
            <w:pPr>
              <w:pStyle w:val="TableHeading"/>
            </w:pPr>
            <w:r>
              <w:t xml:space="preserve">Жители угольных территорий</w:t>
            </w:r>
          </w:p>
        </w:tc>
      </w:tr>
      <w:tr>
        <w:trPr>
          <w:cantSplit/>
        </w:trPr>
        <w:tc>
          <w:tcPr>
            <w:tcW w:w="1800" w:type="dxa"/>
          </w:tcPr>
          <w:p>
            <w:pPr>
              <w:pStyle w:val="TableText"/>
            </w:pPr>
            <w:r>
              <w:t xml:space="preserve">Кашель и дыхательные жалобы</w:t>
            </w:r>
          </w:p>
        </w:tc>
        <w:tc>
          <w:tcPr>
            <w:tcW w:w="3919" w:type="dxa"/>
          </w:tcPr>
          <w:p>
            <w:pPr>
              <w:pStyle w:val="TableText"/>
            </w:pPr>
            <w:r>
              <w:t xml:space="preserve">Танзания, подземная шахта: у наиболее запылённой группы отношение шансов кашля 2,91 (95% ДИ 1,06–7,97). Сравнивали работников с разными дозами пыли. </w:t>
            </w:r>
            <w:hyperlink w:anchor="source_4">
              <w:r>
                <w:rPr>
                  <w:rStyle w:val="Hyperlink"/>
                </w:rPr>
                <w:t>[4]</w:t>
              </w:r>
            </w:hyperlink>
            <w:r>
              <w:t xml:space="preserve"/>
            </w:r>
          </w:p>
        </w:tc>
        <w:tc>
          <w:tcPr>
            <w:tcW w:w="3919" w:type="dxa"/>
          </w:tcPr>
          <w:p>
            <w:pPr>
              <w:pStyle w:val="TableText"/>
            </w:pPr>
            <w:r>
              <w:t xml:space="preserve">Индия, Джхария: сухой кашель у 17,3% мужчин коммерческой зоны и у 6% мужчин контрольной территории. </w:t>
            </w:r>
            <w:hyperlink w:anchor="source_5">
              <w:r>
                <w:rPr>
                  <w:rStyle w:val="Hyperlink"/>
                </w:rPr>
                <w:t>[5]</w:t>
              </w:r>
            </w:hyperlink>
            <w:r>
              <w:t xml:space="preserve"/>
            </w:r>
          </w:p>
        </w:tc>
      </w:tr>
      <w:tr>
        <w:trPr>
          <w:cantSplit/>
        </w:trPr>
        <w:tc>
          <w:tcPr>
            <w:tcW w:w="1800" w:type="dxa"/>
          </w:tcPr>
          <w:p>
            <w:pPr>
              <w:pStyle w:val="TableText"/>
            </w:pPr>
            <w:r>
              <w:t xml:space="preserve">Смертность от болезней дыхания</w:t>
            </w:r>
          </w:p>
        </w:tc>
        <w:tc>
          <w:tcPr>
            <w:tcW w:w="3919" w:type="dxa"/>
          </w:tcPr>
          <w:p>
            <w:pPr>
              <w:pStyle w:val="TableText"/>
            </w:pPr>
            <w:r>
              <w:t xml:space="preserve">Чехия, бывшие шахтёры с пневмокониозом: смертность от болезней дыхания — 2,78 от ожидаемой; отдельно ХОБЛ — 2,94. </w:t>
            </w:r>
            <w:hyperlink w:anchor="source_6">
              <w:r>
                <w:rPr>
                  <w:rStyle w:val="Hyperlink"/>
                </w:rPr>
                <w:t>[6]</w:t>
              </w:r>
            </w:hyperlink>
            <w:r>
              <w:t xml:space="preserve"/>
            </w:r>
          </w:p>
        </w:tc>
        <w:tc>
          <w:tcPr>
            <w:tcW w:w="3919" w:type="dxa"/>
          </w:tcPr>
          <w:p>
            <w:pPr>
              <w:pStyle w:val="TableText"/>
            </w:pPr>
            <w:r>
              <w:t xml:space="preserve">США, наиболее добывающие округа Аппалачей: смертность от хронических болезней дыхания выше на 7% у мужчин и на 11% у женщин относительно округов без добычи. </w:t>
            </w:r>
            <w:hyperlink w:anchor="source_7">
              <w:r>
                <w:rPr>
                  <w:rStyle w:val="Hyperlink"/>
                </w:rPr>
                <w:t>[7]</w:t>
              </w:r>
            </w:hyperlink>
            <w:r>
              <w:t xml:space="preserve"/>
            </w:r>
          </w:p>
        </w:tc>
      </w:tr>
      <w:tr>
        <w:trPr>
          <w:cantSplit/>
        </w:trPr>
        <w:tc>
          <w:tcPr>
            <w:tcW w:w="1800" w:type="dxa"/>
          </w:tcPr>
          <w:p>
            <w:pPr>
              <w:pStyle w:val="TableText"/>
            </w:pPr>
            <w:r>
              <w:t xml:space="preserve">Сердечно-сосудистая смертность</w:t>
            </w:r>
          </w:p>
        </w:tc>
        <w:tc>
          <w:tcPr>
            <w:tcW w:w="3919" w:type="dxa"/>
          </w:tcPr>
          <w:p>
            <w:pPr>
              <w:pStyle w:val="TableText"/>
            </w:pPr>
            <w:r>
              <w:t xml:space="preserve">Австралия, Квинсленд: у мужчин производственной группы показатель выше на 22% относительно остальных мужчин рабочей когорты. </w:t>
            </w:r>
            <w:hyperlink w:anchor="source_8">
              <w:r>
                <w:rPr>
                  <w:rStyle w:val="Hyperlink"/>
                </w:rPr>
                <w:t>[8]</w:t>
              </w:r>
            </w:hyperlink>
            <w:r>
              <w:t xml:space="preserve"/>
            </w:r>
          </w:p>
        </w:tc>
        <w:tc>
          <w:tcPr>
            <w:tcW w:w="3919" w:type="dxa"/>
          </w:tcPr>
          <w:p>
            <w:pPr>
              <w:pStyle w:val="TableText"/>
            </w:pPr>
            <w:r>
              <w:t xml:space="preserve">США, Аппалачи: смертность от хронических сердечных причин выше на 28% у мужчин и на 18% у женщин относительно округов без добычи. </w:t>
            </w:r>
            <w:hyperlink w:anchor="source_7">
              <w:r>
                <w:rPr>
                  <w:rStyle w:val="Hyperlink"/>
                </w:rPr>
                <w:t>[7]</w:t>
              </w:r>
            </w:hyperlink>
            <w:r>
              <w:t xml:space="preserve"/>
            </w:r>
          </w:p>
        </w:tc>
      </w:tr>
      <w:tr>
        <w:trPr>
          <w:cantSplit/>
        </w:trPr>
        <w:tc>
          <w:tcPr>
            <w:tcW w:w="1800" w:type="dxa"/>
          </w:tcPr>
          <w:p>
            <w:pPr>
              <w:pStyle w:val="TableText"/>
            </w:pPr>
            <w:r>
              <w:t xml:space="preserve">Смертность от рака лёгкого</w:t>
            </w:r>
          </w:p>
        </w:tc>
        <w:tc>
          <w:tcPr>
            <w:tcW w:w="3919" w:type="dxa"/>
          </w:tcPr>
          <w:p>
            <w:pPr>
              <w:pStyle w:val="TableText"/>
            </w:pPr>
            <w:r>
              <w:t xml:space="preserve">Чехия: у бывших шахтёров с пневмокониозом SMR 1,70; без пневмокониоза при включении — 0,83. Сравнение с мужчинами страны. </w:t>
            </w:r>
            <w:hyperlink w:anchor="source_6">
              <w:r>
                <w:rPr>
                  <w:rStyle w:val="Hyperlink"/>
                </w:rPr>
                <w:t>[6]</w:t>
              </w:r>
            </w:hyperlink>
            <w:r>
              <w:t xml:space="preserve"/>
            </w:r>
          </w:p>
        </w:tc>
        <w:tc>
          <w:tcPr>
            <w:tcW w:w="3919" w:type="dxa"/>
          </w:tcPr>
          <w:p>
            <w:pPr>
              <w:pStyle w:val="TableText"/>
            </w:pPr>
            <w:r>
              <w:t xml:space="preserve">Испания, возле угольных разрезов: RR 1,22 для обоих полов; у мужчин 1,29, у женщин 0,57. Сравнение с муниципалитетами без добычи в радиусе 5 км. </w:t>
            </w:r>
            <w:hyperlink w:anchor="source_9">
              <w:r>
                <w:rPr>
                  <w:rStyle w:val="Hyperlink"/>
                </w:rPr>
                <w:t>[9]</w:t>
              </w:r>
            </w:hyperlink>
            <w:r>
              <w:t xml:space="preserve"/>
            </w:r>
          </w:p>
        </w:tc>
      </w:tr>
      <w:tr>
        <w:trPr>
          <w:cantSplit/>
        </w:trPr>
        <w:tc>
          <w:tcPr>
            <w:tcW w:w="1800" w:type="dxa"/>
          </w:tcPr>
          <w:p>
            <w:pPr>
              <w:pStyle w:val="TableText"/>
            </w:pPr>
            <w:r>
              <w:t xml:space="preserve">Туберкулёз</w:t>
            </w:r>
          </w:p>
        </w:tc>
        <w:tc>
          <w:tcPr>
            <w:tcW w:w="3919" w:type="dxa"/>
          </w:tcPr>
          <w:p>
            <w:pPr>
              <w:pStyle w:val="TableText"/>
            </w:pPr>
            <w:r>
              <w:t xml:space="preserve">Пакистан, Белуджистан: 19 подтверждённых случаев среди 8 149 обследованных работников — 233 на 100 тысяч обследованных. </w:t>
            </w:r>
            <w:hyperlink w:anchor="source_10">
              <w:r>
                <w:rPr>
                  <w:rStyle w:val="Hyperlink"/>
                </w:rPr>
                <w:t>[10]</w:t>
              </w:r>
            </w:hyperlink>
            <w:r>
              <w:t xml:space="preserve"/>
            </w:r>
          </w:p>
        </w:tc>
        <w:tc>
          <w:tcPr>
            <w:tcW w:w="3919" w:type="dxa"/>
          </w:tcPr>
          <w:p>
            <w:pPr>
              <w:pStyle w:val="TableText"/>
            </w:pPr>
            <w:r>
              <w:t xml:space="preserve">В той же программе: 15 случаев среди 6 392 жителей соседних сообществ — 235 на 100 тысяч обследованных. </w:t>
            </w:r>
            <w:hyperlink w:anchor="source_10">
              <w:r>
                <w:rPr>
                  <w:rStyle w:val="Hyperlink"/>
                </w:rPr>
                <w:t>[10]</w:t>
              </w:r>
            </w:hyperlink>
            <w:r>
              <w:t xml:space="preserve"/>
            </w:r>
          </w:p>
        </w:tc>
      </w:tr>
    </w:tbl>
    <w:p>
      <w:pPr>
        <w:pStyle w:val="SourceNote"/>
      </w:pPr>
      <w:r>
        <w:t xml:space="preserve">В таблице сопоставлены темы исследований. OR — отношение шансов, RR — относительный показатель, SMR — стандартизованное отношение смертности. Численность, годы и доверительные интервалы раскрыты в тексте и таблице исследований.</w:t>
      </w:r>
    </w:p>
    <w:p>
      <w:pPr>
        <w:pStyle w:val="Normal"/>
      </w:pPr>
      <w:r>
        <w:t xml:space="preserve">У жителей изучали не только соседство с шахтой. В подборку вошли открытая добыча, коксохимический завод, угольный терминал и последствия закрытия предприятий. У работников учитывали профессию, стаж, пылевую нагрузку и годы после ухода с работы. Так становится видна не одна «болезнь угля», а несколько разных проблем, повторяющихся по обе стороны предприятия.</w:t>
      </w:r>
    </w:p>
    <w:p>
      <w:pPr>
        <w:pStyle w:val="Normal"/>
      </w:pPr>
      <w:r>
        <w:t xml:space="preserve">Часть результатов ниже выражена отношением шансов — OR. Шансы сравнивают вероятность события с вероятностью того, что оно не произойдёт; риск — вероятность самого события. Поэтому отношение шансов нельзя читать как отношение рисков или как долю заболевших. Отношения рисков и частот показывают, во сколько раз различаются соответствующие показатели двух групп.</w:t>
      </w:r>
    </w:p>
    <w:p>
      <w:pPr>
        <w:pStyle w:val="Normal"/>
      </w:pPr>
      <w:r>
        <w:t xml:space="preserve">SMR — отношение зарегистрированных смертей к числу, ожидаемому по показателям выбранной группы сравнения, с учётом возраста и других условий расчёта. Нейтральное значение зависит от шкалы: для OR и большинства относительных показателей это 1; в австралийской работе SMR выражено со значением 100 при отсутствии различия. В чешской работе нейтральное значение SMR — 1. </w:t>
      </w:r>
      <w:hyperlink w:anchor="source_28">
        <w:r>
          <w:rPr>
            <w:rStyle w:val="Hyperlink"/>
          </w:rPr>
          <w:t>[28]</w:t>
        </w:r>
      </w:hyperlink>
      <w:r>
        <w:t xml:space="preserve"> </w:t>
      </w:r>
      <w:hyperlink w:anchor="source_6">
        <w:r>
          <w:rPr>
            <w:rStyle w:val="Hyperlink"/>
          </w:rPr>
          <w:t>[6]</w:t>
        </w:r>
      </w:hyperlink>
      <w:r>
        <w:t xml:space="preserve"/>
      </w:r>
    </w:p>
    <w:p>
      <w:pPr>
        <w:pStyle w:val="Normal"/>
      </w:pPr>
      <w:r>
        <w:t xml:space="preserve">Доверительный интервал показывает неопределённость оценки. Если для относительного показателя он включает нейтральное значение — 1 на обычной шкале или 100 для SMR на австралийской шкале, — данные в рамках расчёта совместимы и с отсутствием различия. Статистически незначимый результат не доказывает отсутствия эффекта. Интервалы для долей, процентов снижения и других показателей читаются по их собственной шкале.</w:t>
      </w:r>
    </w:p>
    <w:p>
      <w:pPr>
        <w:pStyle w:val="Heading1"/>
      </w:pPr>
      <w:bookmarkStart w:id="3" w:name="cough"/>
      <w:r>
        <w:t xml:space="preserve">Кашель на работе и дома</w:t>
      </w:r>
      <w:bookmarkEnd w:id="3"/>
    </w:p>
    <w:p>
      <w:pPr>
        <w:pStyle w:val="Normal"/>
      </w:pPr>
      <w:r>
        <w:t xml:space="preserve">В Танзании, на подземной угольной шахте в Мбее, в 2003–2004 годах обследовали 250 мужчин. Исследователи измеряли пыль, восстанавливали историю работы и спрашивали о дыхательных симптомах. У 10% работников с самыми высокими накопленными дозами угольной пыли отношение шансов кашля составило 2,91 по сравнению с четвертью работников с самыми низкими дозами. В расчёте учли возраст и курение. </w:t>
      </w:r>
      <w:hyperlink w:anchor="source_4">
        <w:r>
          <w:rPr>
            <w:rStyle w:val="Hyperlink"/>
          </w:rPr>
          <w:t>[4]</w:t>
        </w:r>
      </w:hyperlink>
      <w:r>
        <w:t xml:space="preserve"/>
      </w:r>
    </w:p>
    <w:p>
      <w:pPr>
        <w:pStyle w:val="Normal"/>
      </w:pPr>
      <w:r>
        <w:t xml:space="preserve">В индийском угольном бассейне Джхария обследовали жителей. Среди мужчин, живших в зоне, которую авторы назвали коммерческой, о сухом кашле сообщили 17,3%. В контрольной территории Чанданкиярия — 6%. В этом сравнении участвовали 127 и 100 мужчин соответственно. Результаты опубликованы в 2015 году. </w:t>
      </w:r>
      <w:hyperlink w:anchor="source_5">
        <w:r>
          <w:rPr>
            <w:rStyle w:val="Hyperlink"/>
          </w:rPr>
          <w:t>[5]</w:t>
        </w:r>
      </w:hyperlink>
      <w:r>
        <w:t xml:space="preserve"/>
      </w:r>
    </w:p>
    <w:p>
      <w:pPr>
        <w:pStyle w:val="Normal"/>
      </w:pPr>
      <w:r>
        <w:t xml:space="preserve">Для Танзании важно, как именно построено сравнение. Повышенный показатель 2,91 относится к верхним 10% накопленной пылевой нагрузки. Если взять всю верхнюю четверть работников, OR составляет 1,50 с интервалом 0,68–3,35. Результаты опроса о кашле здесь сопоставлены с измерениями рабочей пыли. Отношение шансов описывает различие между двумя группами. </w:t>
      </w:r>
      <w:hyperlink w:anchor="source_4">
        <w:r>
          <w:rPr>
            <w:rStyle w:val="Hyperlink"/>
          </w:rPr>
          <w:t>[4]</w:t>
        </w:r>
      </w:hyperlink>
      <w:r>
        <w:t xml:space="preserve"/>
      </w:r>
    </w:p>
    <w:p>
      <w:pPr>
        <w:pStyle w:val="Normal"/>
      </w:pPr>
      <w:r>
        <w:t xml:space="preserve">Джхария даёт другой способ увидеть проблему: долю людей, сообщивших о сухом кашле, можно прочитать напрямую — примерно 17 из 100 против 6 из 100. Но это данные мужчин одной выделенной зоны. Для мужчин жилой зоны авторы приводят OR 2,01 и отмечают статистически незначимое различие с контролем. Профессии жителей в этом сравнении отдельно не выделены. </w:t>
      </w:r>
      <w:hyperlink w:anchor="source_5">
        <w:r>
          <w:rPr>
            <w:rStyle w:val="Hyperlink"/>
          </w:rPr>
          <w:t>[5]</w:t>
        </w:r>
      </w:hyperlink>
      <w:r>
        <w:t xml:space="preserve"/>
      </w:r>
    </w:p>
    <w:p>
      <w:pPr>
        <w:pStyle w:val="Normal"/>
      </w:pPr>
      <w:r>
        <w:t xml:space="preserve">У детей последствия респираторных жалоб можно увидеть даже в школьной посещаемости. В британском Мерсисайде исследование 1991 года охватило анкеты родителей 1 872 детей пяти–одиннадцати лет. Пять школ находились в полукилометре–двух километрах от угольного терминала в Бутле. У этих детей были выше шансы пропустить больше одного учебного дня за год из-за кашля, свистящего дыхания или одышки: отношение шансов — 1,59. В порту перегружали также другие грузы. </w:t>
      </w:r>
      <w:hyperlink w:anchor="source_11">
        <w:r>
          <w:rPr>
            <w:rStyle w:val="Hyperlink"/>
          </w:rPr>
          <w:t>[11]</w:t>
        </w:r>
      </w:hyperlink>
      <w:r>
        <w:t xml:space="preserve"/>
      </w:r>
    </w:p>
    <w:p>
      <w:pPr>
        <w:pStyle w:val="Normal"/>
      </w:pPr>
      <w:r>
        <w:t xml:space="preserve">В Аппенцелле-Ауссерродене обследование населения 2017 года даёт местный ориентир по дыхательным заболеваниям: о врачебном диагнозе астмы сообщили 3,17% жителей от 15 лет, о хроническом бронхите, ХОБЛ или эмфиземе — 2,48%. По Швейцарии соответствующие доли — 4,76% и 2,00%. Это ответы жителей частных домохозяйств, а не обследование работников. </w:t>
      </w:r>
      <w:hyperlink w:anchor="source_12">
        <w:r>
          <w:rPr>
            <w:rStyle w:val="Hyperlink"/>
          </w:rPr>
          <w:t>[12]</w:t>
        </w:r>
      </w:hyperlink>
      <w:r>
        <w:t xml:space="preserve"/>
      </w:r>
    </w:p>
    <w:p>
      <w:pPr>
        <w:pStyle w:val="Heading1"/>
      </w:pPr>
      <w:bookmarkStart w:id="4" w:name="after_work"/>
      <w:r>
        <w:t xml:space="preserve">Когда болезнь остаётся после работы</w:t>
      </w:r>
      <w:bookmarkEnd w:id="4"/>
    </w:p>
    <w:p>
      <w:pPr>
        <w:pStyle w:val="Normal"/>
      </w:pPr>
      <w:r>
        <w:t xml:space="preserve">У работников угольных шахт есть отдельная тяжёлая проблема — пневмокониоз, пылевое заболевание лёгких. В Колумбии, в регионах Бояка и Кундинамарка, в 2013–2014 годах обследовали 447 подземных работников со стажем не менее десяти лет. Рентгенологические признаки пневмокониоза обнаружили у 35,9%. В исследовании участвовали работники 29 компаний. </w:t>
      </w:r>
      <w:hyperlink w:anchor="source_13">
        <w:r>
          <w:rPr>
            <w:rStyle w:val="Hyperlink"/>
          </w:rPr>
          <w:t>[13]</w:t>
        </w:r>
      </w:hyperlink>
      <w:r>
        <w:t xml:space="preserve"/>
      </w:r>
    </w:p>
    <w:p>
      <w:pPr>
        <w:pStyle w:val="Normal"/>
      </w:pPr>
      <w:r>
        <w:t xml:space="preserve">Болезнь может развиваться и после прекращения работы с пылью. На Хоккайдо в Японии бывших шахтёров с пневмокониозом наблюдали с 1985 по 2005 год. Через десять лет данные сохранялись о 207 участниках, через двадцать — о 85. Авторы сообщили о прогрессировании болезни у 62% наблюдавшихся в первом десятилетии и у 29% во втором. Это результаты двух периодов наблюдения с разным числом оставшихся участников. </w:t>
      </w:r>
      <w:hyperlink w:anchor="source_14">
        <w:r>
          <w:rPr>
            <w:rStyle w:val="Hyperlink"/>
          </w:rPr>
          <w:t>[14]</w:t>
        </w:r>
      </w:hyperlink>
      <w:r>
        <w:t xml:space="preserve"/>
      </w:r>
    </w:p>
    <w:p>
      <w:pPr>
        <w:pStyle w:val="Normal"/>
      </w:pPr>
      <w:r>
        <w:t xml:space="preserve">В Чехии исследователи проследили смертность бывших шахтёров за 1992–2013 годы. У 3 476 мужчин с признанным пневмокониозом зарегистрировали 122 смерти от болезней органов дыхания. После стандартизации по возрасту и периоду наблюдения смертей от этих причин было в 2,78 раза больше ожидаемого по показателям мужчин страны. Для хронической обструктивной болезни лёгких — ХОБЛ — отношение составило 2,94. </w:t>
      </w:r>
      <w:hyperlink w:anchor="source_6">
        <w:r>
          <w:rPr>
            <w:rStyle w:val="Hyperlink"/>
          </w:rPr>
          <w:t>[6]</w:t>
        </w:r>
      </w:hyperlink>
      <w:r>
        <w:t xml:space="preserve"/>
      </w:r>
    </w:p>
    <w:p>
      <w:pPr>
        <w:pStyle w:val="Normal"/>
      </w:pPr>
      <w:r>
        <w:t xml:space="preserve">Отдельно наблюдали 6 687 бывших шахтёров без пневмокониоза на момент включения. У них зарегистрировали 77 смертей от болезней органов дыхания; соответствующее отношение к ожидаемой смертности составило 1,08. Эти мужчины прекратили подземные работы после достижения установленного предела пылевой нагрузки. </w:t>
      </w:r>
      <w:hyperlink w:anchor="source_6">
        <w:r>
          <w:rPr>
            <w:rStyle w:val="Hyperlink"/>
          </w:rPr>
          <w:t>[6]</w:t>
        </w:r>
      </w:hyperlink>
      <w:r>
        <w:t xml:space="preserve"/>
      </w:r>
    </w:p>
    <w:p>
      <w:pPr>
        <w:pStyle w:val="Normal"/>
      </w:pPr>
      <w:r>
        <w:t xml:space="preserve">Длительное наблюдение провели и в США: работников 31 подземной шахты включали в 1969–1971 годах, а причины смерти прослеживали до конца 2007-го. В итоговом анализе было 8 829 человек. Исследователи восстановили накопленные дозы угольной пыли и кремнезёма, учли рабочую историю и курение. </w:t>
      </w:r>
      <w:hyperlink w:anchor="source_15">
        <w:r>
          <w:rPr>
            <w:rStyle w:val="Hyperlink"/>
          </w:rPr>
          <w:t>[15]</w:t>
        </w:r>
      </w:hyperlink>
      <w:r>
        <w:t xml:space="preserve"/>
      </w:r>
    </w:p>
    <w:p>
      <w:pPr>
        <w:pStyle w:val="Normal"/>
      </w:pPr>
      <w:r>
        <w:t xml:space="preserve">Внутри этой когорты у никогда не куривших работников увеличение накопленной угольной пыли на 64,6 мг/м³·года соответствовало отношению интенсивностей смерти от ХОБЛ 1,84 (95% ДИ 1,05–3,22). У бывших курильщиков оценка была 1,52 (0,98–2,34). Это сравнение доз внутри рабочей группы, а не доля заболевших. Оно показывает, почему одних сведений о курении недостаточно: нужна и история профессиональной пылевой нагрузки. </w:t>
      </w:r>
      <w:hyperlink w:anchor="source_15">
        <w:r>
          <w:rPr>
            <w:rStyle w:val="Hyperlink"/>
          </w:rPr>
          <w:t>[15]</w:t>
        </w:r>
      </w:hyperlink>
      <w:r>
        <w:t xml:space="preserve"/>
      </w:r>
    </w:p>
    <w:p>
      <w:pPr>
        <w:pStyle w:val="Normal"/>
      </w:pPr>
      <w:r>
        <w:t xml:space="preserve">Поэтому уход из шахты не должен обрывать медицинское наблюдение. В японской работе болезнь продолжала меняться после прекращения работы; в чешской и американской работах исходы прослеживали многие годы. Для человека важна вся эта история, а не только последний медосмотр перед увольнением. </w:t>
      </w:r>
      <w:hyperlink w:anchor="source_14">
        <w:r>
          <w:rPr>
            <w:rStyle w:val="Hyperlink"/>
          </w:rPr>
          <w:t>[14]</w:t>
        </w:r>
      </w:hyperlink>
      <w:r>
        <w:t xml:space="preserve"> </w:t>
      </w:r>
      <w:hyperlink w:anchor="source_6">
        <w:r>
          <w:rPr>
            <w:rStyle w:val="Hyperlink"/>
          </w:rPr>
          <w:t>[6]</w:t>
        </w:r>
      </w:hyperlink>
      <w:r>
        <w:t xml:space="preserve"> </w:t>
      </w:r>
      <w:hyperlink w:anchor="source_15">
        <w:r>
          <w:rPr>
            <w:rStyle w:val="Hyperlink"/>
          </w:rPr>
          <w:t>[15]</w:t>
        </w:r>
      </w:hyperlink>
      <w:r>
        <w:t xml:space="preserve"/>
      </w:r>
    </w:p>
    <w:p>
      <w:pPr>
        <w:pStyle w:val="Normal"/>
      </w:pPr>
      <w:r>
        <w:t xml:space="preserve">В нашей подборке нет исследования отдельной группы угольных шахтёров Аппенцелля-Ауссерродена. Поэтому профессиональные результаты здесь сопоставлены с другими исследованиями работников, а здоровье жителей кантона описано отдельно.</w:t>
      </w:r>
    </w:p>
    <w:p>
      <w:pPr>
        <w:pStyle w:val="Heading1"/>
      </w:pPr>
      <w:bookmarkStart w:id="5" w:name="tb"/>
      <w:r>
        <w:t xml:space="preserve">Одно обследование для шахтёров и соседей</w:t>
      </w:r>
      <w:bookmarkEnd w:id="5"/>
    </w:p>
    <w:p>
      <w:pPr>
        <w:pStyle w:val="Normal"/>
      </w:pPr>
      <w:r>
        <w:t xml:space="preserve">В пакистанском Белуджистане в 2019 году организовали 96 выездных пунктов обследования на туберкулёз. Программа охватила работников угольных шахт и жителей соседних сообществ в пяти районах. Людей опрашивали о симптомах, затем исследовали мокроту; диагноз подтверждали методом Xpert MTB/RIF. </w:t>
      </w:r>
      <w:hyperlink w:anchor="source_10">
        <w:r>
          <w:rPr>
            <w:rStyle w:val="Hyperlink"/>
          </w:rPr>
          <w:t>[10]</w:t>
        </w:r>
      </w:hyperlink>
      <w:r>
        <w:t xml:space="preserve"/>
      </w:r>
    </w:p>
    <w:p>
      <w:pPr>
        <w:pStyle w:val="Normal"/>
      </w:pPr>
      <w:r>
        <w:t xml:space="preserve">Показатели среди обследованных оказались почти одинаковыми: 233 случая на 100 тысяч работников и 235 — на 100 тысяч жителей. В одной программе медики нашли один и тот же диагноз у людей, работающих в шахтах, и у их соседей. Но почти одинаковые показатели в этих двух группах не доказывают влияние угля: в исследовании нет сравнения с населением вне угольных территорий. </w:t>
      </w:r>
      <w:hyperlink w:anchor="source_10">
        <w:r>
          <w:rPr>
            <w:rStyle w:val="Hyperlink"/>
          </w:rPr>
          <w:t>[10]</w:t>
        </w:r>
      </w:hyperlink>
      <w:r>
        <w:t xml:space="preserve"/>
      </w:r>
    </w:p>
    <w:p>
      <w:pPr>
        <w:pStyle w:val="Normal"/>
      </w:pPr>
      <w:r>
        <w:t xml:space="preserve">Как часто регистрируют туберкулёз в Кузбассе и какие швейцарские данные доступны, показано ниже, в разделе «Туберкулёз и ВИЧ».</w:t>
      </w:r>
    </w:p>
    <w:p>
      <w:pPr>
        <w:pStyle w:val="Heading1"/>
      </w:pPr>
      <w:bookmarkStart w:id="6" w:name="heart"/>
      <w:r>
        <w:t xml:space="preserve">Сердце и лёгкие в статистике смертности</w:t>
      </w:r>
      <w:bookmarkEnd w:id="6"/>
    </w:p>
    <w:p>
      <w:pPr>
        <w:pStyle w:val="Normal"/>
      </w:pPr>
      <w:r>
        <w:t xml:space="preserve">В американских Аппалачах исследователи сопоставили смертность населения угледобывающих округов и округов США без добычи. Они изучали 2000–2004 годы, учитывали возраст и характеристики территорий, включая социальные условия и распространённость курения. </w:t>
      </w:r>
      <w:hyperlink w:anchor="source_7">
        <w:r>
          <w:rPr>
            <w:rStyle w:val="Hyperlink"/>
          </w:rPr>
          <w:t>[7]</w:t>
        </w:r>
      </w:hyperlink>
      <w:r>
        <w:t xml:space="preserve"/>
      </w:r>
    </w:p>
    <w:p>
      <w:pPr>
        <w:pStyle w:val="Normal"/>
      </w:pPr>
      <w:r>
        <w:t xml:space="preserve">В группе аппалачских округов с наибольшей добычей относительный показатель смертности от хронических болезней дыхания был выше на 7% у мужчин и на 11% у женщин. В эту группу причин входили хронический бронхит, эмфизема, астма и другие хронические болезни нижних дыхательных путей. По хроническим сердечным причинам превышение составляло 28% у мужчин и 18% у женщин. По острым сердечным причинам у мужчин показатель, напротив, был ниже на 11%. </w:t>
      </w:r>
      <w:hyperlink w:anchor="source_7">
        <w:r>
          <w:rPr>
            <w:rStyle w:val="Hyperlink"/>
          </w:rPr>
          <w:t>[7]</w:t>
        </w:r>
      </w:hyperlink>
      <w:r>
        <w:t xml:space="preserve"/>
      </w:r>
    </w:p>
    <w:p>
      <w:pPr>
        <w:pStyle w:val="Normal"/>
      </w:pPr>
      <w:r>
        <w:t xml:space="preserve">В той же аппалачской работе относительный показатель смертности по почечной группе причин был выше на 19% у мужчин и на 13% у женщин. Для Аппенцелля-Ауссерродена соответствующий местный коэффициент в проверенных данных не получен. </w:t>
      </w:r>
      <w:hyperlink w:anchor="source_7">
        <w:r>
          <w:rPr>
            <w:rStyle w:val="Hyperlink"/>
          </w:rPr>
          <w:t>[7]</w:t>
        </w:r>
      </w:hyperlink>
      <w:r>
        <w:t xml:space="preserve"/>
      </w:r>
    </w:p>
    <w:p>
      <w:pPr>
        <w:pStyle w:val="Normal"/>
      </w:pPr>
      <w:r>
        <w:t xml:space="preserve">В Австралии сердечно-сосудистую смертность изучали внутри большой группы работников угольной отрасли Квинсленда. В анализ вошли 161 534 мужчины и 23 967 женщин с известной профессией; наблюдение смертности продолжалось до ноября 2020 года. </w:t>
      </w:r>
      <w:hyperlink w:anchor="source_8">
        <w:r>
          <w:rPr>
            <w:rStyle w:val="Hyperlink"/>
          </w:rPr>
          <w:t>[8]</w:t>
        </w:r>
      </w:hyperlink>
      <w:r>
        <w:t xml:space="preserve"/>
      </w:r>
    </w:p>
    <w:p>
      <w:pPr>
        <w:pStyle w:val="Normal"/>
      </w:pPr>
      <w:r>
        <w:t xml:space="preserve">У мужчин производственной группы — в неё входили шахтёры и операторы — скорректированный показатель смертности от болезней кровообращения был на 22% выше, чем у остальных мужчин той же рабочей когорты. Исследователи учли возраст, календарный период и курение. Здесь сравнивались разные профессии внутри отрасли. В аппалачской работе сравнивались жители разных территорий. </w:t>
      </w:r>
      <w:hyperlink w:anchor="source_8">
        <w:r>
          <w:rPr>
            <w:rStyle w:val="Hyperlink"/>
          </w:rPr>
          <w:t>[8]</w:t>
        </w:r>
      </w:hyperlink>
      <w:r>
        <w:t xml:space="preserve"> </w:t>
      </w:r>
      <w:hyperlink w:anchor="source_7">
        <w:r>
          <w:rPr>
            <w:rStyle w:val="Hyperlink"/>
          </w:rPr>
          <w:t>[7]</w:t>
        </w:r>
      </w:hyperlink>
      <w:r>
        <w:t xml:space="preserve"/>
      </w:r>
    </w:p>
    <w:p>
      <w:pPr>
        <w:pStyle w:val="Normal"/>
      </w:pPr>
      <w:r>
        <w:t xml:space="preserve">И у работников, и у жителей исследуют болезни сердца и дыхания. При этом группы сравнения различаются. В Австралии производственные работники сопоставлены с другими работниками; в США — территории с территориями. Почечные причины добавляют ещё один вопрос для наблюдения за жителями. В выбранных для статьи работах нет такого же результата по смертности угольщиков от болезней почек.</w:t>
      </w:r>
    </w:p>
    <w:p>
      <w:pPr>
        <w:pStyle w:val="Normal"/>
      </w:pPr>
      <w:r>
        <w:t xml:space="preserve">По Аппенцеллю-Ауссерродену доступны показатели острых сердечно-сосудистых событий. За 2017–2021 годы среднегодовая частота инфаркта составляла 271,8 на 100 тысяч, по Швейцарии — 227,7; инсульта — 283,4 и 249,8 соответственно. Все четыре значения рассчитаны с одинаковой возрастной стандартизацией. По этим двум показателям кантон оказался выше среднего по стране. </w:t>
      </w:r>
      <w:hyperlink w:anchor="source_16">
        <w:r>
          <w:rPr>
            <w:rStyle w:val="Hyperlink"/>
          </w:rPr>
          <w:t>[16]</w:t>
        </w:r>
      </w:hyperlink>
      <w:r>
        <w:t xml:space="preserve"> </w:t>
      </w:r>
      <w:hyperlink w:anchor="source_17">
        <w:r>
          <w:rPr>
            <w:rStyle w:val="Hyperlink"/>
          </w:rPr>
          <w:t>[17]</w:t>
        </w:r>
      </w:hyperlink>
      <w:r>
        <w:t xml:space="preserve"/>
      </w:r>
    </w:p>
    <w:p>
      <w:pPr>
        <w:pStyle w:val="Heading1"/>
      </w:pPr>
      <w:bookmarkStart w:id="7" w:name="cancer"/>
      <w:r>
        <w:t xml:space="preserve">Рак лёгкого</w:t>
      </w:r>
      <w:bookmarkEnd w:id="7"/>
    </w:p>
    <w:p>
      <w:pPr>
        <w:pStyle w:val="Normal"/>
      </w:pPr>
      <w:r>
        <w:t xml:space="preserve">В чешском наблюдении за бывшими шахтёрами с пневмокониозом зарегистрировали 116 смертей от рака трахеи, бронхов и лёгкого. Стандартизованное отношение смертности к ожидаемой среди мужчин страны составило 1,70. В группе без пневмокониоза при включении зарегистрировали 143 смерти, а отношение составило 0,83. Численность и время наблюдения этих групп были разными. </w:t>
      </w:r>
      <w:hyperlink w:anchor="source_6">
        <w:r>
          <w:rPr>
            <w:rStyle w:val="Hyperlink"/>
          </w:rPr>
          <w:t>[6]</w:t>
        </w:r>
      </w:hyperlink>
      <w:r>
        <w:t xml:space="preserve"/>
      </w:r>
    </w:p>
    <w:p>
      <w:pPr>
        <w:pStyle w:val="Normal"/>
      </w:pPr>
      <w:r>
        <w:t xml:space="preserve">В Испании анализировали смерти от рака за 1997–2006 годы. Отдельно рассмотрели население двенадцати муниципалитетов возле угольных разрезов и тринадцати — возле подземных угольных предприятий. Сравнивали их с муниципалитетами без зарегистрированной добычи в пределах пяти километров от муниципального центра. </w:t>
      </w:r>
      <w:hyperlink w:anchor="source_9">
        <w:r>
          <w:rPr>
            <w:rStyle w:val="Hyperlink"/>
          </w:rPr>
          <w:t>[9]</w:t>
        </w:r>
      </w:hyperlink>
      <w:r>
        <w:t xml:space="preserve"/>
      </w:r>
    </w:p>
    <w:p>
      <w:pPr>
        <w:pStyle w:val="Normal"/>
      </w:pPr>
      <w:r>
        <w:t xml:space="preserve">Возле разрезов относительный показатель смертности от рака лёгкого для обоих полов составил 1,22. У мужчин он был выше показателя сравнения на 29%, у женщин — ниже на 43%. Возле подземных угольных предприятий общий относительный показатель составил 1,09; его 95%-й байесовский интервал — от 0,95 до 1,26. </w:t>
      </w:r>
      <w:hyperlink w:anchor="source_9">
        <w:r>
          <w:rPr>
            <w:rStyle w:val="Hyperlink"/>
          </w:rPr>
          <w:t>[9]</w:t>
        </w:r>
      </w:hyperlink>
      <w:r>
        <w:t xml:space="preserve"/>
      </w:r>
    </w:p>
    <w:p>
      <w:pPr>
        <w:pStyle w:val="Normal"/>
      </w:pPr>
      <w:r>
        <w:t xml:space="preserve">Коксование — отдельный производственный процесс. В Лотарингии во Франции исследовали 534 мужчин, вышедших на пенсию с двух коксохимических предприятий. За 1963–1982 годы зарегистрировали 104 смерти, в том числе 17 от рака лёгкого. Стандартизованное отношение смертности от рака лёгкого к ожидаемой по мужскому населению Франции составило 2,51. Численный доверительный интервал авторы в таблицах не привели. </w:t>
      </w:r>
      <w:hyperlink w:anchor="source_18">
        <w:r>
          <w:rPr>
            <w:rStyle w:val="Hyperlink"/>
          </w:rPr>
          <w:t>[18]</w:t>
        </w:r>
      </w:hyperlink>
      <w:r>
        <w:t xml:space="preserve"/>
      </w:r>
    </w:p>
    <w:p>
      <w:pPr>
        <w:pStyle w:val="Normal"/>
      </w:pPr>
      <w:r>
        <w:t xml:space="preserve">По общей смертности и всем опухолям вместе в этой французской работе значимого превышения не было. Это важное различие внутри онкологической темы: результат по определённой локализации может отличаться от результата по всей группе рака. Поэтому рак лёгкого, другие опухоли и все причины смерти рассматриваются отдельно. </w:t>
      </w:r>
      <w:hyperlink w:anchor="source_18">
        <w:r>
          <w:rPr>
            <w:rStyle w:val="Hyperlink"/>
          </w:rPr>
          <w:t>[18]</w:t>
        </w:r>
      </w:hyperlink>
      <w:r>
        <w:t xml:space="preserve"/>
      </w:r>
    </w:p>
    <w:p>
      <w:pPr>
        <w:pStyle w:val="Normal"/>
      </w:pPr>
      <w:r>
        <w:t xml:space="preserve">В кантональном онкологическом регистре рак лёгкого также выделен отдельно. За 2017–2021 годы зарегистрировали 94 новых случая у мужчин и 54 у женщин; за 2016–2020 годы — 58 и 45 смертей соответственно. В пересчёте на одинаковый возрастной стандарт смертность составляла 26,7 на 100 тысяч мужчин и 17,4 на 100 тысяч женщин в год. </w:t>
      </w:r>
      <w:hyperlink w:anchor="source_19">
        <w:r>
          <w:rPr>
            <w:rStyle w:val="Hyperlink"/>
          </w:rPr>
          <w:t>[19]</w:t>
        </w:r>
      </w:hyperlink>
      <w:r>
        <w:t xml:space="preserve"/>
      </w:r>
    </w:p>
    <w:p>
      <w:pPr>
        <w:pStyle w:val="Heading1"/>
      </w:pPr>
      <w:bookmarkStart w:id="8" w:name="children"/>
      <w:r>
        <w:t xml:space="preserve">Дети: дыхание и врождённые аномалии</w:t>
      </w:r>
      <w:bookmarkEnd w:id="8"/>
    </w:p>
    <w:p>
      <w:pPr>
        <w:pStyle w:val="Normal"/>
      </w:pPr>
      <w:r>
        <w:t xml:space="preserve">В исследовании школ возле терминала Бутл результат по пропускам занятий был заметнее, чем по отдельным диагнозам: OR пропуска больше одного дня из-за дыхательных жалоб — 1,59 (95% ДИ 1,23–2,04). Для астмы OR составляло 1,25 (0,88–1,76), для свистящего дыхания — 1,37 (0,98–1,91). У этих двух оценок интервалы включали 1. Для анализа школьных пропусков были доступны 1 391 наблюдение. </w:t>
      </w:r>
      <w:hyperlink w:anchor="source_11">
        <w:r>
          <w:rPr>
            <w:rStyle w:val="Hyperlink"/>
          </w:rPr>
          <w:t>[11]</w:t>
        </w:r>
      </w:hyperlink>
      <w:r>
        <w:t xml:space="preserve"/>
      </w:r>
    </w:p>
    <w:p>
      <w:pPr>
        <w:pStyle w:val="Normal"/>
      </w:pPr>
      <w:r>
        <w:t xml:space="preserve">Другой вопрос — здоровье детей с самого начала жизни. В четырёх штатах центральных Аппалачей исследовали 1 889 071 живорождение за 1996–2003 годы. Для округов с открытой добычей методом срезания горных вершин отношение частот зарегистрированных врождённых аномалий составило 1,26 (95% ДИ 1,21–1,32) относительно округов без угледобычи. Для объединённой группы аномалий органов кровообращения и дыхания — 1,93 (1,73–2,15), для хромосомных — 0,92 (0,72–1,18). </w:t>
      </w:r>
      <w:hyperlink w:anchor="source_20">
        <w:r>
          <w:rPr>
            <w:rStyle w:val="Hyperlink"/>
          </w:rPr>
          <w:t>[20]</w:t>
        </w:r>
      </w:hyperlink>
      <w:r>
        <w:t xml:space="preserve"/>
      </w:r>
    </w:p>
    <w:p>
      <w:pPr>
        <w:pStyle w:val="Normal"/>
      </w:pPr>
      <w:r>
        <w:t xml:space="preserve">В последующей работе по Западной Виргинии проверили различия регистрации между родильными больницами. В сравнении, охватывавшем 44 больницы, после учёта больницы рождения отношение частот составило 1,08 (95% ДИ 0,97–1,20). Авторы не получили статистически значимого различия. Территории и годы двух исследований частично перекрывались. Для местного мониторинга это означает, что рядом с числом аномалий необходимы сведения о том, где и как их регистрировали. </w:t>
      </w:r>
      <w:hyperlink w:anchor="source_21">
        <w:r>
          <w:rPr>
            <w:rStyle w:val="Hyperlink"/>
          </w:rPr>
          <w:t>[21]</w:t>
        </w:r>
      </w:hyperlink>
      <w:r>
        <w:t xml:space="preserve"/>
      </w:r>
    </w:p>
    <w:p>
      <w:pPr>
        <w:pStyle w:val="Normal"/>
      </w:pPr>
      <w:r>
        <w:t xml:space="preserve">По Аппенцеллю-Ауссерродену есть ежегодная младенческая смертность: 5,38 на тысячу живорождённых в 2019 году, 1,83 в 2020-м и 1,74 в 2021-м. В Кузбассе — 6,2; 5,6; 5,5 соответственно. Для врождённых аномалий, недоношенности и малой массы при рождении отдельные показатели кантона в проверенных довоенных материалах не получены. </w:t>
      </w:r>
      <w:hyperlink w:anchor="source_22">
        <w:r>
          <w:rPr>
            <w:rStyle w:val="Hyperlink"/>
          </w:rPr>
          <w:t>[22]</w:t>
        </w:r>
      </w:hyperlink>
      <w:r>
        <w:t xml:space="preserve"> </w:t>
      </w:r>
      <w:hyperlink w:anchor="source_23">
        <w:r>
          <w:rPr>
            <w:rStyle w:val="Hyperlink"/>
          </w:rPr>
          <w:t>[23]</w:t>
        </w:r>
      </w:hyperlink>
      <w:r>
        <w:t xml:space="preserve"/>
      </w:r>
    </w:p>
    <w:p>
      <w:pPr>
        <w:pStyle w:val="Heading1"/>
      </w:pPr>
      <w:bookmarkStart w:id="9" w:name="coke_closure"/>
      <w:r>
        <w:t xml:space="preserve">Что меняется после остановки коксохима</w:t>
      </w:r>
      <w:bookmarkEnd w:id="9"/>
    </w:p>
    <w:p>
      <w:pPr>
        <w:pStyle w:val="Normal"/>
      </w:pPr>
      <w:r>
        <w:t xml:space="preserve">В январе 2016 года возле Питтсбурга, в американском штате Пенсильвания, закрылся коксохимический завод Shenango. Исследователи проследили, как после этого менялись обращения жителей за медицинской помощью. Они изучили данные за 2013–2018 годы и сопоставили происходившее возле завода с контрольными территориями. </w:t>
      </w:r>
      <w:hyperlink w:anchor="source_24">
        <w:r>
          <w:rPr>
            <w:rStyle w:val="Hyperlink"/>
          </w:rPr>
          <w:t>[24]</w:t>
        </w:r>
      </w:hyperlink>
      <w:r>
        <w:t xml:space="preserve"> </w:t>
      </w:r>
      <w:hyperlink w:anchor="source_25">
        <w:r>
          <w:rPr>
            <w:rStyle w:val="Hyperlink"/>
          </w:rPr>
          <w:t>[25]</w:t>
        </w:r>
      </w:hyperlink>
      <w:r>
        <w:t xml:space="preserve"/>
      </w:r>
    </w:p>
    <w:p>
      <w:pPr>
        <w:pStyle w:val="Normal"/>
      </w:pPr>
      <w:r>
        <w:t xml:space="preserve">Анализ показал немедленное снижение частоты обращений детей с астмой в отделения неотложной помощи на 41%. В отдельной работе о том же закрытии снижение сердечно-сосудистых обращений составило 42%. Доверительные интервалы этих оценок — 14–60% и 33–51% соответственно. </w:t>
      </w:r>
      <w:hyperlink w:anchor="source_24">
        <w:r>
          <w:rPr>
            <w:rStyle w:val="Hyperlink"/>
          </w:rPr>
          <w:t>[24]</w:t>
        </w:r>
      </w:hyperlink>
      <w:r>
        <w:t xml:space="preserve"> </w:t>
      </w:r>
      <w:hyperlink w:anchor="source_25">
        <w:r>
          <w:rPr>
            <w:rStyle w:val="Hyperlink"/>
          </w:rPr>
          <w:t>[25]</w:t>
        </w:r>
      </w:hyperlink>
      <w:r>
        <w:t xml:space="preserve"/>
      </w:r>
    </w:p>
    <w:p>
      <w:pPr>
        <w:pStyle w:val="Normal"/>
      </w:pPr>
      <w:r>
        <w:t xml:space="preserve">Здесь можно увидеть изменение во времени: медицинские обращения до остановки предприятия и после неё. Детская астма и сердечно-сосудистые обращения представлены в двух публикациях об одном закрытии завода. Это один местный опыт снижения промышленной нагрузки, рассмотренный по разным медицинским исходам. </w:t>
      </w:r>
      <w:hyperlink w:anchor="source_24">
        <w:r>
          <w:rPr>
            <w:rStyle w:val="Hyperlink"/>
          </w:rPr>
          <w:t>[24]</w:t>
        </w:r>
      </w:hyperlink>
      <w:r>
        <w:t xml:space="preserve"> </w:t>
      </w:r>
      <w:hyperlink w:anchor="source_25">
        <w:r>
          <w:rPr>
            <w:rStyle w:val="Hyperlink"/>
          </w:rPr>
          <w:t>[25]</w:t>
        </w:r>
      </w:hyperlink>
      <w:r>
        <w:t xml:space="preserve"/>
      </w:r>
    </w:p>
    <w:p>
      <w:pPr>
        <w:pStyle w:val="Heading1"/>
      </w:pPr>
      <w:bookmarkStart w:id="10" w:name="mental_health"/>
      <w:r>
        <w:t xml:space="preserve">Психическое самочувствие</w:t>
      </w:r>
      <w:bookmarkEnd w:id="10"/>
    </w:p>
    <w:p>
      <w:pPr>
        <w:pStyle w:val="Normal"/>
      </w:pPr>
      <w:r>
        <w:t xml:space="preserve">В двух угольных шахтах Западной Бенгалии в Индии с декабря 2016-го по март 2019 года изучали психическое самочувствие работников, употреблявших алкоголь, табак или каннабис. В анализе депрессивных симптомов участвовал 131 человек: положительный результат по шкале HADS получили 31, или 23,7%. В анализе тревожных симптомов — 132 человека; положительный результат получили 38, или 28,8%. </w:t>
      </w:r>
      <w:hyperlink w:anchor="source_26">
        <w:r>
          <w:rPr>
            <w:rStyle w:val="Hyperlink"/>
          </w:rPr>
          <w:t>[26]</w:t>
        </w:r>
      </w:hyperlink>
      <w:r>
        <w:t xml:space="preserve"/>
      </w:r>
    </w:p>
    <w:p>
      <w:pPr>
        <w:pStyle w:val="Normal"/>
      </w:pPr>
      <w:r>
        <w:t xml:space="preserve">В Аппенцелле-Ауссерродене опрос населения 2017 года выявил умеренные и более тяжёлые депрессивные симптомы у 7,8% участников от 15 лет; по Швейцарии — у 8,6%. Для кантона 95%-й доверительный интервал — 5,2–10,3%, для страны — 8,1–9,1%. Использован опросник PHQ-9; оценивались две недели перед опросом. </w:t>
      </w:r>
      <w:hyperlink w:anchor="source_27">
        <w:r>
          <w:rPr>
            <w:rStyle w:val="Hyperlink"/>
          </w:rPr>
          <w:t>[27]</w:t>
        </w:r>
      </w:hyperlink>
      <w:r>
        <w:t xml:space="preserve"/>
      </w:r>
    </w:p>
    <w:p>
      <w:pPr>
        <w:pStyle w:val="Normal"/>
      </w:pPr>
      <w:r>
        <w:t xml:space="preserve">У работников индийских шахт обследовали специально выбранную подгруппу, у жителей кантона — выборку населения. Это разные группы людей и разные опросники; напрямую сравнивать эти проценты нельзя. Сопоставимой довоенной оценки депрессивных симптомов для населения Кузбасса в собранных источниках нет.</w:t>
      </w:r>
    </w:p>
    <w:p>
      <w:pPr>
        <w:pStyle w:val="Heading1"/>
      </w:pPr>
      <w:bookmarkStart w:id="11" w:name="suicide"/>
      <w:r>
        <w:t xml:space="preserve">Суициды: работники, угольные регионы и кантон</w:t>
      </w:r>
      <w:bookmarkEnd w:id="11"/>
    </w:p>
    <w:p>
      <w:pPr>
        <w:pStyle w:val="Normal"/>
      </w:pPr>
      <w:r>
        <w:t xml:space="preserve">В когорте угольщиков Квинсленда до ноября 2020 года зарегистрировали 614 смертей от суицида у мужчин и 18 у женщин. После учёта возраста у мужчин смертность была на 18% выше ожидаемой по Австралии; у женщин показатель составил 96 при ожидаемом уровне 100. При сравнении мужчин с населением самого Квинсленда общего повышения авторы не выявили. </w:t>
      </w:r>
      <w:hyperlink w:anchor="source_28">
        <w:r>
          <w:rPr>
            <w:rStyle w:val="Hyperlink"/>
          </w:rPr>
          <w:t>[28]</w:t>
        </w:r>
      </w:hyperlink>
      <w:r>
        <w:t xml:space="preserve"/>
      </w:r>
    </w:p>
    <w:p>
      <w:pPr>
        <w:pStyle w:val="Normal"/>
      </w:pPr>
      <w:r>
        <w:t xml:space="preserve">Для населения Аппалачей американская региональная комиссия приводит за 2021 год 21,0 смерти от суицида на 100 тысяч жителей 15–64 лет; для остальной территории США — 17,4. Это возраст-стандартизованные показатели широкого региона, включающего и угольные, и другие округа. </w:t>
      </w:r>
      <w:hyperlink w:anchor="source_29">
        <w:r>
          <w:rPr>
            <w:rStyle w:val="Hyperlink"/>
          </w:rPr>
          <w:t>[29]</w:t>
        </w:r>
      </w:hyperlink>
      <w:r>
        <w:t xml:space="preserve"/>
      </w:r>
    </w:p>
    <w:p>
      <w:pPr>
        <w:pStyle w:val="Normal"/>
      </w:pPr>
      <w:r>
        <w:t xml:space="preserve">Российские регионы тоже выглядят по-разному. В 2021 году в Кузбассе зарегистрировано 19,09 смерти от суицида на 100 тысяч жителей, в Хакасии — 21,31, в Бурятии — 32,93, в Тыве — 21,42, в Ростовской области — 4,56. Российский показатель — 10,71. Пятилетний ряд показывает, как менялись показатели. </w:t>
      </w:r>
      <w:hyperlink w:anchor="source_30">
        <w:r>
          <w:rPr>
            <w:rStyle w:val="Hyperlink"/>
          </w:rPr>
          <w:t>[30]</w:t>
        </w:r>
      </w:hyperlink>
      <w:r>
        <w:t xml:space="preserve"> В Кузбассе за 2017–2021 годы показатель снизился с 25,61 до 19,09, в Хакасии — с 32,37 до 21,31; в России — с 13,81 до 10,71 на 100 тысяч. Данные по каждому году и региону приведены в приложении.</w:t>
      </w:r>
    </w:p>
    <w:p>
      <w:pPr>
        <w:pStyle w:val="Normal"/>
      </w:pPr>
      <w:r>
        <w:t xml:space="preserve">В Аппенцелле-Ауссерродене за те же пять лет среднегодовой показатель без ассистированного ухода из жизни составлял 17,00 на 100 тысяч; в Швейцарии — 11,75. Кантон был выше среднего по своей стране. Ассистированный уход из жизни учтён отдельно; его показатели приведены в приложении. </w:t>
      </w:r>
      <w:hyperlink w:anchor="source_31">
        <w:r>
          <w:rPr>
            <w:rStyle w:val="Hyperlink"/>
          </w:rPr>
          <w:t>[31]</w:t>
        </w:r>
      </w:hyperlink>
      <w:r>
        <w:t xml:space="preserve"/>
      </w:r>
    </w:p>
    <w:p>
      <w:pPr>
        <w:pStyle w:val="Heading1"/>
      </w:pPr>
      <w:bookmarkStart w:id="12" w:name="substances"/>
      <w:r>
        <w:t xml:space="preserve">Алкоголь и наркотики: отдельные показатели здоровья</w:t>
      </w:r>
      <w:bookmarkEnd w:id="12"/>
    </w:p>
    <w:p>
      <w:pPr>
        <w:pStyle w:val="Normal"/>
      </w:pPr>
      <w:r>
        <w:t xml:space="preserve">В Кузбассе смертность от случайного отравления алкоголем снизилась с 17,95 на 100 тысяч в 2017 году до 11,72 в 2021-м. По России соответствующие значения — 8,36 и 6,36; по Хакасии — 10,42 и 9,05. Это смерти от конкретной причины, отдельно от диагнозов зависимости. </w:t>
      </w:r>
      <w:hyperlink w:anchor="source_30">
        <w:r>
          <w:rPr>
            <w:rStyle w:val="Hyperlink"/>
          </w:rPr>
          <w:t>[30]</w:t>
        </w:r>
      </w:hyperlink>
      <w:r>
        <w:t xml:space="preserve"/>
      </w:r>
    </w:p>
    <w:p>
      <w:pPr>
        <w:pStyle w:val="Normal"/>
      </w:pPr>
      <w:r>
        <w:t xml:space="preserve">Для Аппенцелля-Ауссерродена в проверенных материалах нет отдельного ряда смертности от случайных алкогольных отравлений и передозировок наркотиков за 2017–2021 годы. Опросы об употреблении алкоголя и каннабиса отвечают на другой вопрос: они показывают употребление, а не число смертей.</w:t>
      </w:r>
    </w:p>
    <w:p>
      <w:pPr>
        <w:pStyle w:val="Heading1"/>
      </w:pPr>
      <w:bookmarkStart w:id="13" w:name="overall_mortality"/>
      <w:r>
        <w:t xml:space="preserve">Общая смертность и отдельные причины</w:t>
      </w:r>
      <w:bookmarkEnd w:id="13"/>
    </w:p>
    <w:p>
      <w:pPr>
        <w:pStyle w:val="Normal"/>
      </w:pPr>
      <w:r>
        <w:t xml:space="preserve">В большой австралийской когорте угольщиков Квинсленда — 189 011 человек — общая смертность до ноября 2020 года оказалась ниже ожидаемой по показателям населения Австралии. Стандартизованное отношение составляло 81 у мужчин и 75 у женщин при базе 100. Это на 19% и 25% ниже ожидаемого соответственно. </w:t>
      </w:r>
      <w:hyperlink w:anchor="source_28">
        <w:r>
          <w:rPr>
            <w:rStyle w:val="Hyperlink"/>
          </w:rPr>
          <w:t>[28]</w:t>
        </w:r>
      </w:hyperlink>
      <w:r>
        <w:t xml:space="preserve"/>
      </w:r>
    </w:p>
    <w:p>
      <w:pPr>
        <w:pStyle w:val="Normal"/>
      </w:pPr>
      <w:r>
        <w:t xml:space="preserve">Авторы обсуждают «эффект здорового работника»: занятые в промышленности и всё население различаются по состоянию здоровья уже при поступлении на работу. В дальнейшем внутри этой же когорты они сопоставили профессии и отдельные причины смерти — именно из этой работы взят результат по сердечно-сосудистой смертности производственной группы. </w:t>
      </w:r>
      <w:hyperlink w:anchor="source_28">
        <w:r>
          <w:rPr>
            <w:rStyle w:val="Hyperlink"/>
          </w:rPr>
          <w:t>[28]</w:t>
        </w:r>
      </w:hyperlink>
      <w:r>
        <w:t xml:space="preserve"> </w:t>
      </w:r>
      <w:hyperlink w:anchor="source_8">
        <w:r>
          <w:rPr>
            <w:rStyle w:val="Hyperlink"/>
          </w:rPr>
          <w:t>[8]</w:t>
        </w:r>
      </w:hyperlink>
      <w:r>
        <w:t xml:space="preserve"/>
      </w:r>
    </w:p>
    <w:p>
      <w:pPr>
        <w:pStyle w:val="Normal"/>
      </w:pPr>
      <w:r>
        <w:t xml:space="preserve">У жителей бывших угольных территорий Англии и Уэльса есть и длительный ряд общей смертности — за 1981–2019 годы. В основном анализе сопоставляли 54 угольных района с подобранными по социальным характеристикам районами без такой истории. В 1981 году разрыв возраст-стандартизованных коэффициентов составлял 122,6 смерти на 100 тысяч у мужчин и 66,49 у женщин. К 2019 году он сократился на 91% и 70% соответственно. </w:t>
      </w:r>
      <w:hyperlink w:anchor="source_32">
        <w:r>
          <w:rPr>
            <w:rStyle w:val="Hyperlink"/>
          </w:rPr>
          <w:t>[32]</w:t>
        </w:r>
      </w:hyperlink>
      <w:r>
        <w:t xml:space="preserve"/>
      </w:r>
    </w:p>
    <w:p>
      <w:pPr>
        <w:pStyle w:val="Normal"/>
      </w:pPr>
      <w:r>
        <w:t xml:space="preserve">Это исследование показывает, зачем следить не только за сегодняшним уровнем, но и за его изменением десятилетиями. Для жителей важно, сокращается ли отставание территории после закрытия шахт. Для работников — меняется ли здоровье после прекращения контакта с пылью. Эти вопросы требуют наблюдения за людьми и местами на протяжении многих лет. </w:t>
      </w:r>
      <w:hyperlink w:anchor="source_32">
        <w:r>
          <w:rPr>
            <w:rStyle w:val="Hyperlink"/>
          </w:rPr>
          <w:t>[32]</w:t>
        </w:r>
      </w:hyperlink>
      <w:r>
        <w:t xml:space="preserve"> </w:t>
      </w:r>
      <w:hyperlink w:anchor="source_14">
        <w:r>
          <w:rPr>
            <w:rStyle w:val="Hyperlink"/>
          </w:rPr>
          <w:t>[14]</w:t>
        </w:r>
      </w:hyperlink>
      <w:r>
        <w:t xml:space="preserve"/>
      </w:r>
    </w:p>
    <w:p>
      <w:pPr>
        <w:pStyle w:val="Normal"/>
      </w:pPr>
      <w:r>
        <w:t xml:space="preserve">В 2021 году ожидаемая продолжительность жизни при рождении в Кузбассе составляла 67,54 года, в Аппенцелле-Ауссерродене — 83,43. Разница — 15,89 года. У мужчин опубликованные значения — 62,69 и 80,82; у женщин — 72,31 и 86,23. В таблице сохранены и предшествующие пандемии данные 2019 года. </w:t>
      </w:r>
      <w:hyperlink w:anchor="source_23">
        <w:r>
          <w:rPr>
            <w:rStyle w:val="Hyperlink"/>
          </w:rPr>
          <w:t>[23]</w:t>
        </w:r>
      </w:hyperlink>
      <w:r>
        <w:t xml:space="preserve"> </w:t>
      </w:r>
      <w:hyperlink w:anchor="source_33">
        <w:r>
          <w:rPr>
            <w:rStyle w:val="Hyperlink"/>
          </w:rPr>
          <w:t>[33]</w:t>
        </w:r>
      </w:hyperlink>
      <w:r>
        <w:t xml:space="preserve"/>
      </w:r>
    </w:p>
    <w:p>
      <w:pPr>
        <w:pStyle w:val="Caption"/>
      </w:pPr>
      <w:r>
        <w:t xml:space="preserve">Ожидаемая продолжительность жизни при рождении, лет</w:t>
      </w:r>
    </w:p>
    <w:tbl>
      <w:tblPr>
        <w:tblW w:w="9638" w:type="dxa"/>
        <w:tblLayout w:type="fixed"/>
        <w:tblBorders>
          <w:top w:val="single" w:sz="4" w:color="B8CBC1"/>
          <w:bottom w:val="single" w:sz="4" w:color="B8CBC1"/>
          <w:left w:val="single" w:sz="4" w:color="B8CBC1"/>
          <w:right w:val="single" w:sz="4" w:color="B8CBC1"/>
          <w:insideH w:val="single" w:sz="4" w:color="B8CBC1"/>
          <w:insideV w:val="single" w:sz="4" w:color="B8CBC1"/>
        </w:tblBorders>
        <w:tblCellMar>
          <w:top w:w="110" w:type="dxa"/>
          <w:left w:w="130" w:type="dxa"/>
          <w:bottom w:w="110" w:type="dxa"/>
          <w:right w:w="130" w:type="dxa"/>
        </w:tblCellMar>
      </w:tblPr>
      <w:tblGrid>
        <w:gridCol w:w="2400"/>
        <w:gridCol w:w="1600"/>
        <w:gridCol w:w="1600"/>
        <w:gridCol w:w="2019"/>
        <w:gridCol w:w="2019"/>
      </w:tblGrid>
      <w:tr>
        <w:trPr>
          <w:cantSplit/>
          <w:tblHeader/>
        </w:trPr>
        <w:tc>
          <w:tcPr>
            <w:tcW w:w="2400" w:type="dxa"/>
            <w:shd w:fill="E7EFE9"/>
          </w:tcPr>
          <w:p>
            <w:pPr>
              <w:pStyle w:val="TableHeading"/>
            </w:pPr>
            <w:r>
              <w:t xml:space="preserve">Группа и год</w:t>
            </w:r>
          </w:p>
        </w:tc>
        <w:tc>
          <w:tcPr>
            <w:tcW w:w="1600" w:type="dxa"/>
            <w:shd w:fill="E7EFE9"/>
          </w:tcPr>
          <w:p>
            <w:pPr>
              <w:pStyle w:val="TableHeading"/>
            </w:pPr>
            <w:r>
              <w:t xml:space="preserve">Кузбасс</w:t>
            </w:r>
          </w:p>
        </w:tc>
        <w:tc>
          <w:tcPr>
            <w:tcW w:w="1600" w:type="dxa"/>
            <w:shd w:fill="E7EFE9"/>
          </w:tcPr>
          <w:p>
            <w:pPr>
              <w:pStyle w:val="TableHeading"/>
            </w:pPr>
            <w:r>
              <w:t xml:space="preserve">Россия</w:t>
            </w:r>
          </w:p>
        </w:tc>
        <w:tc>
          <w:tcPr>
            <w:tcW w:w="2019" w:type="dxa"/>
            <w:shd w:fill="E7EFE9"/>
          </w:tcPr>
          <w:p>
            <w:pPr>
              <w:pStyle w:val="TableHeading"/>
            </w:pPr>
            <w:r>
              <w:t xml:space="preserve">Аппенцелль-Ауссерроден</w:t>
            </w:r>
          </w:p>
        </w:tc>
        <w:tc>
          <w:tcPr>
            <w:tcW w:w="2019" w:type="dxa"/>
            <w:shd w:fill="E7EFE9"/>
          </w:tcPr>
          <w:p>
            <w:pPr>
              <w:pStyle w:val="TableHeading"/>
            </w:pPr>
            <w:r>
              <w:t xml:space="preserve">Швейцария</w:t>
            </w:r>
          </w:p>
        </w:tc>
      </w:tr>
      <w:tr>
        <w:trPr>
          <w:cantSplit/>
        </w:trPr>
        <w:tc>
          <w:tcPr>
            <w:tcW w:w="2400" w:type="dxa"/>
          </w:tcPr>
          <w:p>
            <w:pPr>
              <w:pStyle w:val="TableText"/>
            </w:pPr>
            <w:r>
              <w:t xml:space="preserve">Оба пола, 2019</w:t>
            </w:r>
          </w:p>
        </w:tc>
        <w:tc>
          <w:tcPr>
            <w:tcW w:w="1600" w:type="dxa"/>
          </w:tcPr>
          <w:p>
            <w:pPr>
              <w:pStyle w:val="TableText"/>
            </w:pPr>
            <w:r>
              <w:t xml:space="preserve">69,69</w:t>
            </w:r>
          </w:p>
        </w:tc>
        <w:tc>
          <w:tcPr>
            <w:tcW w:w="1600" w:type="dxa"/>
          </w:tcPr>
          <w:p>
            <w:pPr>
              <w:pStyle w:val="TableText"/>
            </w:pPr>
            <w:r>
              <w:t xml:space="preserve">73,34</w:t>
            </w:r>
          </w:p>
        </w:tc>
        <w:tc>
          <w:tcPr>
            <w:tcW w:w="2019" w:type="dxa"/>
          </w:tcPr>
          <w:p>
            <w:pPr>
              <w:pStyle w:val="TableText"/>
            </w:pPr>
            <w:r>
              <w:t xml:space="preserve">83,20</w:t>
            </w:r>
          </w:p>
        </w:tc>
        <w:tc>
          <w:tcPr>
            <w:tcW w:w="2019" w:type="dxa"/>
          </w:tcPr>
          <w:p>
            <w:pPr>
              <w:pStyle w:val="TableText"/>
            </w:pPr>
            <w:r>
              <w:t xml:space="preserve">83,72</w:t>
            </w:r>
          </w:p>
        </w:tc>
      </w:tr>
      <w:tr>
        <w:trPr>
          <w:cantSplit/>
        </w:trPr>
        <w:tc>
          <w:tcPr>
            <w:tcW w:w="2400" w:type="dxa"/>
          </w:tcPr>
          <w:p>
            <w:pPr>
              <w:pStyle w:val="TableText"/>
            </w:pPr>
            <w:r>
              <w:t xml:space="preserve">Оба пола, 2020</w:t>
            </w:r>
          </w:p>
        </w:tc>
        <w:tc>
          <w:tcPr>
            <w:tcW w:w="1600" w:type="dxa"/>
          </w:tcPr>
          <w:p>
            <w:pPr>
              <w:pStyle w:val="TableText"/>
            </w:pPr>
            <w:r>
              <w:t xml:space="preserve">68,44</w:t>
            </w:r>
          </w:p>
        </w:tc>
        <w:tc>
          <w:tcPr>
            <w:tcW w:w="1600" w:type="dxa"/>
          </w:tcPr>
          <w:p>
            <w:pPr>
              <w:pStyle w:val="TableText"/>
            </w:pPr>
            <w:r>
              <w:t xml:space="preserve">71,58</w:t>
            </w:r>
          </w:p>
        </w:tc>
        <w:tc>
          <w:tcPr>
            <w:tcW w:w="2019" w:type="dxa"/>
          </w:tcPr>
          <w:p>
            <w:pPr>
              <w:pStyle w:val="TableText"/>
            </w:pPr>
            <w:r>
              <w:t xml:space="preserve">82,77</w:t>
            </w:r>
          </w:p>
        </w:tc>
        <w:tc>
          <w:tcPr>
            <w:tcW w:w="2019" w:type="dxa"/>
          </w:tcPr>
          <w:p>
            <w:pPr>
              <w:pStyle w:val="TableText"/>
            </w:pPr>
            <w:r>
              <w:t xml:space="preserve">82,97</w:t>
            </w:r>
          </w:p>
        </w:tc>
      </w:tr>
      <w:tr>
        <w:trPr>
          <w:cantSplit/>
        </w:trPr>
        <w:tc>
          <w:tcPr>
            <w:tcW w:w="2400" w:type="dxa"/>
          </w:tcPr>
          <w:p>
            <w:pPr>
              <w:pStyle w:val="TableText"/>
            </w:pPr>
            <w:r>
              <w:t xml:space="preserve">Оба пола, 2021</w:t>
            </w:r>
          </w:p>
        </w:tc>
        <w:tc>
          <w:tcPr>
            <w:tcW w:w="1600" w:type="dxa"/>
          </w:tcPr>
          <w:p>
            <w:pPr>
              <w:pStyle w:val="TableText"/>
            </w:pPr>
            <w:r>
              <w:t xml:space="preserve">67,54</w:t>
            </w:r>
          </w:p>
        </w:tc>
        <w:tc>
          <w:tcPr>
            <w:tcW w:w="1600" w:type="dxa"/>
          </w:tcPr>
          <w:p>
            <w:pPr>
              <w:pStyle w:val="TableText"/>
            </w:pPr>
            <w:r>
              <w:t xml:space="preserve">70,15</w:t>
            </w:r>
          </w:p>
        </w:tc>
        <w:tc>
          <w:tcPr>
            <w:tcW w:w="2019" w:type="dxa"/>
          </w:tcPr>
          <w:p>
            <w:pPr>
              <w:pStyle w:val="TableText"/>
            </w:pPr>
            <w:r>
              <w:t xml:space="preserve">83,43</w:t>
            </w:r>
          </w:p>
        </w:tc>
        <w:tc>
          <w:tcPr>
            <w:tcW w:w="2019" w:type="dxa"/>
          </w:tcPr>
          <w:p>
            <w:pPr>
              <w:pStyle w:val="TableText"/>
            </w:pPr>
            <w:r>
              <w:t xml:space="preserve">83,58</w:t>
            </w:r>
          </w:p>
        </w:tc>
      </w:tr>
      <w:tr>
        <w:trPr>
          <w:cantSplit/>
        </w:trPr>
        <w:tc>
          <w:tcPr>
            <w:tcW w:w="2400" w:type="dxa"/>
          </w:tcPr>
          <w:p>
            <w:pPr>
              <w:pStyle w:val="TableText"/>
            </w:pPr>
            <w:r>
              <w:t xml:space="preserve">Мужчины, 2021</w:t>
            </w:r>
          </w:p>
        </w:tc>
        <w:tc>
          <w:tcPr>
            <w:tcW w:w="1600" w:type="dxa"/>
          </w:tcPr>
          <w:p>
            <w:pPr>
              <w:pStyle w:val="TableText"/>
            </w:pPr>
            <w:r>
              <w:t xml:space="preserve">62,69</w:t>
            </w:r>
          </w:p>
        </w:tc>
        <w:tc>
          <w:tcPr>
            <w:tcW w:w="1600" w:type="dxa"/>
          </w:tcPr>
          <w:p>
            <w:pPr>
              <w:pStyle w:val="TableText"/>
            </w:pPr>
            <w:r>
              <w:t xml:space="preserve">65,69</w:t>
            </w:r>
          </w:p>
        </w:tc>
        <w:tc>
          <w:tcPr>
            <w:tcW w:w="2019" w:type="dxa"/>
          </w:tcPr>
          <w:p>
            <w:pPr>
              <w:pStyle w:val="TableText"/>
            </w:pPr>
            <w:r>
              <w:t xml:space="preserve">80,82</w:t>
            </w:r>
          </w:p>
        </w:tc>
        <w:tc>
          <w:tcPr>
            <w:tcW w:w="2019" w:type="dxa"/>
          </w:tcPr>
          <w:p>
            <w:pPr>
              <w:pStyle w:val="TableText"/>
            </w:pPr>
            <w:r>
              <w:t xml:space="preserve">81,55</w:t>
            </w:r>
          </w:p>
        </w:tc>
      </w:tr>
      <w:tr>
        <w:trPr>
          <w:cantSplit/>
        </w:trPr>
        <w:tc>
          <w:tcPr>
            <w:tcW w:w="2400" w:type="dxa"/>
          </w:tcPr>
          <w:p>
            <w:pPr>
              <w:pStyle w:val="TableText"/>
            </w:pPr>
            <w:r>
              <w:t xml:space="preserve">Женщины, 2021</w:t>
            </w:r>
          </w:p>
        </w:tc>
        <w:tc>
          <w:tcPr>
            <w:tcW w:w="1600" w:type="dxa"/>
          </w:tcPr>
          <w:p>
            <w:pPr>
              <w:pStyle w:val="TableText"/>
            </w:pPr>
            <w:r>
              <w:t xml:space="preserve">72,31</w:t>
            </w:r>
          </w:p>
        </w:tc>
        <w:tc>
          <w:tcPr>
            <w:tcW w:w="1600" w:type="dxa"/>
          </w:tcPr>
          <w:p>
            <w:pPr>
              <w:pStyle w:val="TableText"/>
            </w:pPr>
            <w:r>
              <w:t xml:space="preserve">74,50</w:t>
            </w:r>
          </w:p>
        </w:tc>
        <w:tc>
          <w:tcPr>
            <w:tcW w:w="2019" w:type="dxa"/>
          </w:tcPr>
          <w:p>
            <w:pPr>
              <w:pStyle w:val="TableText"/>
            </w:pPr>
            <w:r>
              <w:t xml:space="preserve">86,23</w:t>
            </w:r>
          </w:p>
        </w:tc>
        <w:tc>
          <w:tcPr>
            <w:tcW w:w="2019" w:type="dxa"/>
          </w:tcPr>
          <w:p>
            <w:pPr>
              <w:pStyle w:val="TableText"/>
            </w:pPr>
            <w:r>
              <w:t xml:space="preserve">85,53</w:t>
            </w:r>
          </w:p>
        </w:tc>
      </w:tr>
    </w:tbl>
    <w:p>
      <w:pPr>
        <w:pStyle w:val="SourceNote"/>
      </w:pPr>
      <w:r>
        <w:t xml:space="preserve">Периодная ожидаемая продолжительность жизни при рождении. Российские значения — опубликованный ряд регионального доклада, таблица 75, с. 96; швейцарские — BFS / Obsan, category_id=1. </w:t>
      </w:r>
      <w:hyperlink w:anchor="source_23">
        <w:r>
          <w:rPr>
            <w:rStyle w:val="Hyperlink"/>
          </w:rPr>
          <w:t>[23]</w:t>
        </w:r>
      </w:hyperlink>
      <w:r>
        <w:t xml:space="preserve"> </w:t>
      </w:r>
      <w:hyperlink w:anchor="source_33">
        <w:r>
          <w:rPr>
            <w:rStyle w:val="Hyperlink"/>
          </w:rPr>
          <w:t>[33]</w:t>
        </w:r>
      </w:hyperlink>
      <w:r>
        <w:t xml:space="preserve"/>
      </w:r>
    </w:p>
    <w:p>
      <w:pPr>
        <w:pStyle w:val="Heading1"/>
      </w:pPr>
      <w:bookmarkStart w:id="14" w:name="kuzbass"/>
      <w:r>
        <w:t xml:space="preserve">Кузбасс: профессиональные заболевания и здоровье населения</w:t>
      </w:r>
      <w:bookmarkEnd w:id="14"/>
    </w:p>
    <w:p>
      <w:pPr>
        <w:pStyle w:val="Normal"/>
      </w:pPr>
      <w:r>
        <w:t xml:space="preserve">В Кузбассе в 2021 году в добыче угля зарегистрировали 425 новых профессиональных заболеваний — 50,30 на десять тысяч работников. В 2019 году было 524 заболевания и 56,25 на десять тысяч, в 2020-м — 421 и 50,63. Это зарегистрированные диагнозы в отрасли. Показатели жителей области приведены отдельно. </w:t>
      </w:r>
      <w:hyperlink w:anchor="source_23">
        <w:r>
          <w:rPr>
            <w:rStyle w:val="Hyperlink"/>
          </w:rPr>
          <w:t>[23]</w:t>
        </w:r>
      </w:hyperlink>
      <w:r>
        <w:t xml:space="preserve"/>
      </w:r>
    </w:p>
    <w:p>
      <w:pPr>
        <w:pStyle w:val="Normal"/>
      </w:pPr>
      <w:r>
        <w:t xml:space="preserve">Сначала — общие, или «грубые», коэффициенты смертности. Они не учитывают различия в возрасте населения: при большей доле пожилых людей смертность может быть выше. Поэтому следующие числа показывают зарегистрированный уровень смертности, а не прямое сравнение риска для людей одного возраста.</w:t>
      </w:r>
    </w:p>
    <w:p>
      <w:pPr>
        <w:pStyle w:val="Normal"/>
      </w:pPr>
      <w:r>
        <w:t xml:space="preserve">В 2021 году коэффициент общей смертности Кузбасса составлял 1 817,2 на 100 тысяч жителей; Хакасии — 1 608,1; России — 1 673,9; Аппенцелля-Ауссерродена — 910,78. По болезням кровообращения, злокачественным опухолям и болезням дыхания Кузбасс в том же году был выше российского уровня. </w:t>
      </w:r>
      <w:hyperlink w:anchor="source_30">
        <w:r>
          <w:rPr>
            <w:rStyle w:val="Hyperlink"/>
          </w:rPr>
          <w:t>[30]</w:t>
        </w:r>
      </w:hyperlink>
      <w:r>
        <w:t xml:space="preserve"> </w:t>
      </w:r>
      <w:hyperlink w:anchor="source_34">
        <w:r>
          <w:rPr>
            <w:rStyle w:val="Hyperlink"/>
          </w:rPr>
          <w:t>[34]</w:t>
        </w:r>
      </w:hyperlink>
      <w:r>
        <w:t xml:space="preserve"/>
      </w:r>
    </w:p>
    <w:p>
      <w:pPr>
        <w:pStyle w:val="Normal"/>
      </w:pPr>
      <w:r>
        <w:t xml:space="preserve">Смертность от болезней кровообращения в Кузбассе в 2021 году — 896,93 на 100 тысяч, по России — 640,32. От злокачественных опухолей — 237,44 и 191,30; от болезней органов дыхания — 102,07 и 78,65. По этим трём группам причин отдельные сопоставимые коэффициенты кантона в подборке пока отсутствуют. </w:t>
      </w:r>
      <w:hyperlink w:anchor="source_30">
        <w:r>
          <w:rPr>
            <w:rStyle w:val="Hyperlink"/>
          </w:rPr>
          <w:t>[30]</w:t>
        </w:r>
      </w:hyperlink>
      <w:r>
        <w:t xml:space="preserve"/>
      </w:r>
    </w:p>
    <w:p>
      <w:pPr>
        <w:pStyle w:val="Normal"/>
      </w:pPr>
      <w:r>
        <w:t xml:space="preserve">У кантона есть собственные данные об инфарктах, инсультах, дыхательных заболеваниях и раке лёгкого — они приведены в соответствующих разделах. По общей смертности за 2021 год Аппенцелль-Ауссерроден выше среднего по Швейцарии: 910,78 против 817,87 на 100 тысяч. После одинаковой возрастной стандартизации соотношение сохраняется: 895,0 против 821,2. </w:t>
      </w:r>
      <w:hyperlink w:anchor="source_34">
        <w:r>
          <w:rPr>
            <w:rStyle w:val="Hyperlink"/>
          </w:rPr>
          <w:t>[34]</w:t>
        </w:r>
      </w:hyperlink>
      <w:r>
        <w:t xml:space="preserve"/>
      </w:r>
    </w:p>
    <w:p>
      <w:pPr>
        <w:pStyle w:val="Heading1"/>
      </w:pPr>
      <w:bookmarkStart w:id="15" w:name="infections"/>
      <w:r>
        <w:t xml:space="preserve">Туберкулёз и ВИЧ</w:t>
      </w:r>
      <w:bookmarkEnd w:id="15"/>
    </w:p>
    <w:p>
      <w:pPr>
        <w:pStyle w:val="Normal"/>
      </w:pPr>
      <w:r>
        <w:t xml:space="preserve">Впервые зарегистрированный активный туберкулёз в Кузбассе в 2021 году — 70 случаев на 100 тысяч жителей; по России — 30,71. Годом раньше — 72,28 и 32,07. Эти значения взяты попарно из одних федеральных таблиц. </w:t>
      </w:r>
      <w:hyperlink w:anchor="source_35">
        <w:r>
          <w:rPr>
            <w:rStyle w:val="Hyperlink"/>
          </w:rPr>
          <w:t>[35]</w:t>
        </w:r>
      </w:hyperlink>
      <w:r>
        <w:t xml:space="preserve"> </w:t>
      </w:r>
      <w:hyperlink w:anchor="source_36">
        <w:r>
          <w:rPr>
            <w:rStyle w:val="Hyperlink"/>
          </w:rPr>
          <w:t>[36]</w:t>
        </w:r>
      </w:hyperlink>
      <w:r>
        <w:t xml:space="preserve"/>
      </w:r>
    </w:p>
    <w:p>
      <w:pPr>
        <w:pStyle w:val="Normal"/>
      </w:pPr>
      <w:r>
        <w:t xml:space="preserve">Отдельного открытого показателя туберкулёза у работников угольной отрасли Кузбасса в собранных материалах нет. В нашей подборке нет и местного ряда Аппенцелля-Ауссерродена; швейцарский национальный показатель за 2021 год — 3,90 на 100 тысяч. </w:t>
      </w:r>
      <w:hyperlink w:anchor="source_37">
        <w:r>
          <w:rPr>
            <w:rStyle w:val="Hyperlink"/>
          </w:rPr>
          <w:t>[37]</w:t>
        </w:r>
      </w:hyperlink>
      <w:r>
        <w:t xml:space="preserve"/>
      </w:r>
    </w:p>
    <w:p>
      <w:pPr>
        <w:pStyle w:val="Normal"/>
      </w:pPr>
      <w:r>
        <w:t xml:space="preserve">Показатель зарегистрированных людей, живущих с ВИЧ в Кузбассе, вырос с 1 934,9 на 100 тысяч населения в конце 2019 года до 2 069,7 в конце 2021-го. В эту численность входят и люди со стадией СПИДа. Новые диагнозы за один год — другой показатель: в 2021 году в Кузбассе зарегистрировали 79,49 нового случая на 100 тысяч, в России — 41,72. </w:t>
      </w:r>
      <w:hyperlink w:anchor="source_38">
        <w:r>
          <w:rPr>
            <w:rStyle w:val="Hyperlink"/>
          </w:rPr>
          <w:t>[38]</w:t>
        </w:r>
      </w:hyperlink>
      <w:r>
        <w:t xml:space="preserve"> </w:t>
      </w:r>
      <w:hyperlink w:anchor="source_35">
        <w:r>
          <w:rPr>
            <w:rStyle w:val="Hyperlink"/>
          </w:rPr>
          <w:t>[35]</w:t>
        </w:r>
      </w:hyperlink>
      <w:r>
        <w:t xml:space="preserve"> </w:t>
      </w:r>
      <w:hyperlink w:anchor="source_36">
        <w:r>
          <w:rPr>
            <w:rStyle w:val="Hyperlink"/>
          </w:rPr>
          <w:t>[36]</w:t>
        </w:r>
      </w:hyperlink>
      <w:r>
        <w:t xml:space="preserve"/>
      </w:r>
    </w:p>
    <w:p>
      <w:pPr>
        <w:pStyle w:val="Normal"/>
      </w:pPr>
      <w:r>
        <w:t xml:space="preserve">Кантональный доклад сообщает, что в Аппенцелле-Ауссерродене в каждом из 2016–2019 годов регистрировали по одному новому случаю ВИЧ. Численность постоянного населения на конец 2019 года — 55 445 человек: один зарегистрированный случай соответствует примерно 1,8 на 100 тысяч при таком знаменателе. В Кузбассе в 2019 году зарегистрировали 179,5 нового случая на 100 тысяч, в России — 64,5. Кантональная цифра 1,8 рассчитана здесь по одному случаю и населению на конец года. Это не готовый годовой показатель Федерального ведомства здравоохранения Швейцарии (BAG). </w:t>
      </w:r>
      <w:hyperlink w:anchor="source_39">
        <w:r>
          <w:rPr>
            <w:rStyle w:val="Hyperlink"/>
          </w:rPr>
          <w:t>[39]</w:t>
        </w:r>
      </w:hyperlink>
      <w:r>
        <w:t xml:space="preserve"> </w:t>
      </w:r>
      <w:hyperlink w:anchor="source_38">
        <w:r>
          <w:rPr>
            <w:rStyle w:val="Hyperlink"/>
          </w:rPr>
          <w:t>[38]</w:t>
        </w:r>
      </w:hyperlink>
      <w:r>
        <w:t xml:space="preserve"/>
      </w:r>
    </w:p>
    <w:p>
      <w:pPr>
        <w:pStyle w:val="Normal"/>
      </w:pPr>
      <w:r>
        <w:t xml:space="preserve">Для 2021 года BAG публикует по Швейцарии 3,47 нового случая ВИЧ на 100 тысяч. Отдельная поражённость — численность живущих с ВИЧ — для Аппенцелля-Ауссерродена в проверенных источниках не получена. </w:t>
      </w:r>
      <w:hyperlink w:anchor="source_40">
        <w:r>
          <w:rPr>
            <w:rStyle w:val="Hyperlink"/>
          </w:rPr>
          <w:t>[40]</w:t>
        </w:r>
      </w:hyperlink>
      <w:r>
        <w:t xml:space="preserve"/>
      </w:r>
    </w:p>
    <w:p>
      <w:pPr>
        <w:pStyle w:val="Normal"/>
      </w:pPr>
      <w:r>
        <w:t xml:space="preserve">Эти данные описывают здоровье населения региона. Они сами по себе не устанавливают связь распространения инфекций с угледобычей.</w:t>
      </w:r>
    </w:p>
    <w:p>
      <w:pPr>
        <w:pStyle w:val="Heading1"/>
      </w:pPr>
      <w:bookmarkStart w:id="16" w:name="canton_comparison"/>
      <w:r>
        <w:t xml:space="preserve">Сравнение с кантоном по всем темам статьи</w:t>
      </w:r>
      <w:bookmarkEnd w:id="16"/>
    </w:p>
    <w:p>
      <w:pPr>
        <w:pStyle w:val="Normal"/>
      </w:pPr>
      <w:r>
        <w:t xml:space="preserve">Аппенцелль-Ауссерроден даёт несколько разных ответов. Продолжительность жизни здесь заметно выше, чем в Кузбассе. В 2020 и 2021 годах ниже и младенческая смертность. При этом по инфарктам, инсультам, общей смертности и суицидам кантон выше среднего по Швейцарии. Одна территория может иметь хорошие значения по одним показателям и более высокие — по другим.</w:t>
      </w:r>
    </w:p>
    <w:p>
      <w:pPr>
        <w:pStyle w:val="Normal"/>
      </w:pPr>
      <w:r>
        <w:t xml:space="preserve">Аппенцелль-Ауссерроден выбран потому, что там находится офис MIR Trade, торговавшей российским углём. Это место торговли, а не специально подобранная контрольная территория для Кузбасса. Сопоставление позволяет увидеть, как различаются здоровье и условия жизни на двух сторонах угольной экономики. Оно не определяет, какая доля разрыва вызвана углём: на показатели влияют также возраст, доходы, курение и доступность лечения. </w:t>
      </w:r>
      <w:hyperlink w:anchor="source_1">
        <w:r>
          <w:rPr>
            <w:rStyle w:val="Hyperlink"/>
          </w:rPr>
          <w:t>[1]</w:t>
        </w:r>
      </w:hyperlink>
      <w:r>
        <w:t xml:space="preserve"> </w:t>
      </w:r>
      <w:hyperlink w:anchor="source_3">
        <w:r>
          <w:rPr>
            <w:rStyle w:val="Hyperlink"/>
          </w:rPr>
          <w:t>[3]</w:t>
        </w:r>
      </w:hyperlink>
      <w:r>
        <w:t xml:space="preserve"/>
      </w:r>
    </w:p>
    <w:p>
      <w:pPr>
        <w:pStyle w:val="Heading1"/>
      </w:pPr>
      <w:bookmarkStart w:id="17" w:name="monitoring"/>
      <w:r>
        <w:t xml:space="preserve">Здоровье должно быть видно в отчётах</w:t>
      </w:r>
      <w:bookmarkEnd w:id="17"/>
    </w:p>
    <w:p>
      <w:pPr>
        <w:pStyle w:val="Normal"/>
      </w:pPr>
      <w:r>
        <w:t xml:space="preserve">На вопрос о том, что видно в официальной отчётности, уже есть конкретный ответ. В Кузбассе за 2021 год зарегистрировано 425 новых профессиональных заболеваний в добыче угля. Отдельные ряды показывают смертность населения, новые случаи туберкулёза и ВИЧ, число людей, живущих с ВИЧ, и ожидаемую продолжительность жизни. Это разные показатели: профессиональные диагнозы относятся к работникам, областная статистика — ко всему населению. </w:t>
      </w:r>
      <w:hyperlink w:anchor="source_23">
        <w:r>
          <w:rPr>
            <w:rStyle w:val="Hyperlink"/>
          </w:rPr>
          <w:t>[23]</w:t>
        </w:r>
      </w:hyperlink>
      <w:r>
        <w:t xml:space="preserve"> </w:t>
      </w:r>
      <w:hyperlink w:anchor="source_30">
        <w:r>
          <w:rPr>
            <w:rStyle w:val="Hyperlink"/>
          </w:rPr>
          <w:t>[30]</w:t>
        </w:r>
      </w:hyperlink>
      <w:r>
        <w:t xml:space="preserve"> </w:t>
      </w:r>
      <w:hyperlink w:anchor="source_36">
        <w:r>
          <w:rPr>
            <w:rStyle w:val="Hyperlink"/>
          </w:rPr>
          <w:t>[36]</w:t>
        </w:r>
      </w:hyperlink>
      <w:r>
        <w:t xml:space="preserve"> </w:t>
      </w:r>
      <w:hyperlink w:anchor="source_33">
        <w:r>
          <w:rPr>
            <w:rStyle w:val="Hyperlink"/>
          </w:rPr>
          <w:t>[33]</w:t>
        </w:r>
      </w:hyperlink>
      <w:r>
        <w:t xml:space="preserve"/>
      </w:r>
    </w:p>
    <w:p>
      <w:pPr>
        <w:pStyle w:val="Normal"/>
      </w:pPr>
      <w:r>
        <w:t xml:space="preserve">В этой статье большинство территориальных показателей приведено по области в целом. Для оценки здоровья жителей рядом с конкретными предприятиями нужны более подробные местные данные. Областное среднее не описывает само по себе жизнь возле отдельной шахты, разреза или фабрики. Это граница данного сопоставления, а не утверждение, что городских сведений или исследований вообще нет.</w:t>
      </w:r>
    </w:p>
    <w:p>
      <w:pPr>
        <w:pStyle w:val="Normal"/>
      </w:pPr>
      <w:r>
        <w:t xml:space="preserve">В исследованиях профессионального и окружающего воздействия наиболее отчётливо повторяется дыхательная тема: кашель, хронические болезни лёгких, обращения за помощью и смерти от респираторных причин. Важен и период после работы: пневмокониоз может прогрессировать у бывших шахтёров. Исследования жителей рядом с предприятиями добавляют сердечно-сосудистые исходы, рак лёгкого, детские дыхательные жалобы и исходы рождения; результаты зависят от вида производства и способа сравнения. </w:t>
      </w:r>
      <w:hyperlink w:anchor="source_14">
        <w:r>
          <w:rPr>
            <w:rStyle w:val="Hyperlink"/>
          </w:rPr>
          <w:t>[14]</w:t>
        </w:r>
      </w:hyperlink>
      <w:r>
        <w:t xml:space="preserve"> </w:t>
      </w:r>
      <w:hyperlink w:anchor="source_6">
        <w:r>
          <w:rPr>
            <w:rStyle w:val="Hyperlink"/>
          </w:rPr>
          <w:t>[6]</w:t>
        </w:r>
      </w:hyperlink>
      <w:r>
        <w:t xml:space="preserve"> </w:t>
      </w:r>
      <w:hyperlink w:anchor="source_7">
        <w:r>
          <w:rPr>
            <w:rStyle w:val="Hyperlink"/>
          </w:rPr>
          <w:t>[7]</w:t>
        </w:r>
      </w:hyperlink>
      <w:r>
        <w:t xml:space="preserve"> </w:t>
      </w:r>
      <w:hyperlink w:anchor="source_9">
        <w:r>
          <w:rPr>
            <w:rStyle w:val="Hyperlink"/>
          </w:rPr>
          <w:t>[9]</w:t>
        </w:r>
      </w:hyperlink>
      <w:r>
        <w:t xml:space="preserve"> </w:t>
      </w:r>
      <w:hyperlink w:anchor="source_11">
        <w:r>
          <w:rPr>
            <w:rStyle w:val="Hyperlink"/>
          </w:rPr>
          <w:t>[11]</w:t>
        </w:r>
      </w:hyperlink>
      <w:r>
        <w:t xml:space="preserve"> </w:t>
      </w:r>
      <w:hyperlink w:anchor="source_20">
        <w:r>
          <w:rPr>
            <w:rStyle w:val="Hyperlink"/>
          </w:rPr>
          <w:t>[20]</w:t>
        </w:r>
      </w:hyperlink>
      <w:r>
        <w:t xml:space="preserve"> </w:t>
      </w:r>
      <w:hyperlink w:anchor="source_21">
        <w:r>
          <w:rPr>
            <w:rStyle w:val="Hyperlink"/>
          </w:rPr>
          <w:t>[21]</w:t>
        </w:r>
      </w:hyperlink>
      <w:r>
        <w:t xml:space="preserve"/>
      </w:r>
    </w:p>
    <w:p>
      <w:pPr>
        <w:pStyle w:val="Normal"/>
      </w:pPr>
      <w:r>
        <w:t xml:space="preserve">Закрытие коксохимического завода Shenango показывает, что можно наблюдать и изменения после снижения промышленной нагрузки: исследователи зарегистрировали сокращение детских обращений с астмой и сердечно-сосудистых обращений. Наблюдение за бывшими шахтёрами, в свою очередь, показывает, почему история здоровья не заканчивается в день увольнения. </w:t>
      </w:r>
      <w:hyperlink w:anchor="source_24">
        <w:r>
          <w:rPr>
            <w:rStyle w:val="Hyperlink"/>
          </w:rPr>
          <w:t>[24]</w:t>
        </w:r>
      </w:hyperlink>
      <w:r>
        <w:t xml:space="preserve"> </w:t>
      </w:r>
      <w:hyperlink w:anchor="source_25">
        <w:r>
          <w:rPr>
            <w:rStyle w:val="Hyperlink"/>
          </w:rPr>
          <w:t>[25]</w:t>
        </w:r>
      </w:hyperlink>
      <w:r>
        <w:t xml:space="preserve"> </w:t>
      </w:r>
      <w:hyperlink w:anchor="source_14">
        <w:r>
          <w:rPr>
            <w:rStyle w:val="Hyperlink"/>
          </w:rPr>
          <w:t>[14]</w:t>
        </w:r>
      </w:hyperlink>
      <w:r>
        <w:t xml:space="preserve"/>
      </w:r>
    </w:p>
    <w:p>
      <w:pPr>
        <w:pStyle w:val="Normal"/>
      </w:pPr>
      <w:r>
        <w:t xml:space="preserve">Общая картина здоровья населения — другой уровень описания. Суициды, инфекции, отравления, продолжительность жизни и общая смертность важны для понимания жизни региона, но не превращаются от этого в перечень доказанных последствий угля. Результаты исследований воздействия и региональную статистику нужно читать рядом, сохраняя различие между ними.</w:t>
      </w:r>
    </w:p>
    <w:p>
      <w:pPr>
        <w:pStyle w:val="Normal"/>
      </w:pPr>
      <w:r>
        <w:t xml:space="preserve">Я хочу, чтобы рядом с тоннами добытого и проданного угля были видны люди. Те, кто работал в шахте. Те, чьи дома оказались рядом с разрезом или фабрикой. И те, кто живёт там, где углём торгуют. Для этого важно видеть не только объём добычи, но и здоровье работников после ухода с предприятия, здоровье соседей и то, как оно меняется со временем. У этого разговора уже есть конкретные исследования, территории, годы и цифры.</w:t>
      </w:r>
    </w:p>
    <w:p>
      <w:pPr>
        <w:pStyle w:val="Heading1"/>
      </w:pPr>
      <w:bookmarkStart w:id="18" w:name="sources"/>
      <w:r>
        <w:t xml:space="preserve">Источники</w:t>
      </w:r>
      <w:bookmarkEnd w:id="18"/>
    </w:p>
    <w:p>
      <w:pPr>
        <w:pStyle w:val="SourceText"/>
      </w:pPr>
      <w:bookmarkStart w:id="19" w:name="source_1"/>
      <w:r>
        <w:t xml:space="preserve">[1] MIR Trade AG. About company / Impressum. Дата страницы не указана.</w:t>
      </w:r>
      <w:bookmarkEnd w:id="19"/>
    </w:p>
    <w:p>
      <w:pPr>
        <w:pStyle w:val="SourceNote"/>
      </w:pPr>
      <w:hyperlink r:id="url2">
        <w:r>
          <w:rPr>
            <w:rStyle w:val="Hyperlink"/>
          </w:rPr>
          <w:t>https://mirtrade.ch/about-company/</w:t>
        </w:r>
      </w:hyperlink>
    </w:p>
    <w:p>
      <w:pPr>
        <w:pStyle w:val="SourceNote"/>
      </w:pPr>
      <w:r>
        <w:t xml:space="preserve">About company; адрес в Impressum: Alte Haslenstrasse 5, CH-9053 Teufen AR. Снимок 21.10.2026.</w:t>
      </w:r>
    </w:p>
    <w:p>
      <w:pPr>
        <w:pStyle w:val="SourceText"/>
      </w:pPr>
      <w:bookmarkStart w:id="20" w:name="source_2"/>
      <w:r>
        <w:t xml:space="preserve">[2] MIR Trade AG. Sales structure. Дата страницы не указана.</w:t>
      </w:r>
      <w:bookmarkEnd w:id="20"/>
    </w:p>
    <w:p>
      <w:pPr>
        <w:pStyle w:val="SourceNote"/>
      </w:pPr>
      <w:hyperlink r:id="url3">
        <w:r>
          <w:rPr>
            <w:rStyle w:val="Hyperlink"/>
          </w:rPr>
          <w:t>https://mirtrade.ch/sales-structure/</w:t>
        </w:r>
      </w:hyperlink>
    </w:p>
    <w:p>
      <w:pPr>
        <w:pStyle w:val="SourceNote"/>
      </w:pPr>
      <w:r>
        <w:t xml:space="preserve">Раздел Baltic region: almost 1,000,000 mts monthly. Заявление компании о поставках, не независимое измерение; дата этого объёма не указана.</w:t>
      </w:r>
    </w:p>
    <w:p>
      <w:pPr>
        <w:pStyle w:val="SourceText"/>
      </w:pPr>
      <w:bookmarkStart w:id="21" w:name="source_3"/>
      <w:r>
        <w:t xml:space="preserve">[3] Hargreaves Services plc. Interim results. 2011. Заявление эмитента, опубликованное Investegate.</w:t>
      </w:r>
      <w:bookmarkEnd w:id="21"/>
    </w:p>
    <w:p>
      <w:pPr>
        <w:pStyle w:val="SourceNote"/>
      </w:pPr>
      <w:hyperlink r:id="url4">
        <w:r>
          <w:rPr>
            <w:rStyle w:val="Hyperlink"/>
          </w:rPr>
          <w:t>https://www.investegate.co.uk/announcement/rns/hargreaves-services--hsp/interim-results/2019077</w:t>
        </w:r>
      </w:hyperlink>
    </w:p>
    <w:p>
      <w:pPr>
        <w:pStyle w:val="SourceNote"/>
      </w:pPr>
      <w:r>
        <w:t xml:space="preserve">Раздел о европейской торговле и совместном предприятии с MIR Trade AG: поставщик российского угля.</w:t>
      </w:r>
    </w:p>
    <w:p>
      <w:pPr>
        <w:pStyle w:val="SourceText"/>
      </w:pPr>
      <w:bookmarkStart w:id="22" w:name="source_4"/>
      <w:r>
        <w:t xml:space="preserve">[4] Mamuya SH, Bråtveit M, Mashalla Y, Moen BE. High prevalence of respiratory symptoms among workers in the development section of a manually operated coal mine in a developing country: a cross sectional study. BMC public health. 7. 17. 2007.</w:t>
      </w:r>
      <w:bookmarkEnd w:id="22"/>
    </w:p>
    <w:p>
      <w:pPr>
        <w:pStyle w:val="SourceNote"/>
      </w:pPr>
      <w:hyperlink r:id="url5">
        <w:r>
          <w:rPr>
            <w:rStyle w:val="Hyperlink"/>
          </w:rPr>
          <w:t>https://doi.org/10.1186/1471-2458-7-17</w:t>
        </w:r>
      </w:hyperlink>
    </w:p>
    <w:p>
      <w:pPr>
        <w:pStyle w:val="SourceNote"/>
      </w:pPr>
      <w:r>
        <w:t xml:space="preserve">Table 4; Methods.</w:t>
      </w:r>
    </w:p>
    <w:p>
      <w:pPr>
        <w:pStyle w:val="SourceText"/>
      </w:pPr>
      <w:bookmarkStart w:id="23" w:name="source_5"/>
      <w:r>
        <w:t xml:space="preserve">[5] Masto RE, Rout TK, Srivastava NK, Ram LC. Health status of communities living around Jharia coalfield area. Bhartiya Vaigyanik evam Audyogik Anusandhan Patrika. 2015;23(2):87–92.</w:t>
      </w:r>
      <w:bookmarkEnd w:id="23"/>
    </w:p>
    <w:p>
      <w:pPr>
        <w:pStyle w:val="SourceNote"/>
      </w:pPr>
      <w:hyperlink r:id="url6">
        <w:r>
          <w:rPr>
            <w:rStyle w:val="Hyperlink"/>
          </w:rPr>
          <w:t>https://nopr.niscpr.res.in/handle/123456789/33774</w:t>
        </w:r>
      </w:hyperlink>
    </w:p>
    <w:p>
      <w:pPr>
        <w:pStyle w:val="SourceNote"/>
      </w:pPr>
      <w:r>
        <w:t xml:space="preserve">Печатные с. 88–89; Table 1, PDF с. 3.</w:t>
      </w:r>
    </w:p>
    <w:p>
      <w:pPr>
        <w:pStyle w:val="SourceText"/>
      </w:pPr>
      <w:bookmarkStart w:id="24" w:name="source_6"/>
      <w:r>
        <w:t xml:space="preserve">[6] Tomášková H, Šplíchalová A, Šlachtová H, Urban P, Hajduková Z, Landecká I, Gromnica R, Brhel P, Pelclová D, Jirák Z. Mortality in Miners with Coal-Workers' Pneumoconiosis in the Czech Republic in the Period 1992-2013. International journal of environmental research and public health. 14(3). E269. 2017.</w:t>
      </w:r>
      <w:bookmarkEnd w:id="24"/>
    </w:p>
    <w:p>
      <w:pPr>
        <w:pStyle w:val="SourceNote"/>
      </w:pPr>
      <w:hyperlink r:id="url7">
        <w:r>
          <w:rPr>
            <w:rStyle w:val="Hyperlink"/>
          </w:rPr>
          <w:t>https://doi.org/10.3390/ijerph14030269</w:t>
        </w:r>
      </w:hyperlink>
    </w:p>
    <w:p>
      <w:pPr>
        <w:pStyle w:val="SourceNote"/>
      </w:pPr>
      <w:r>
        <w:t xml:space="preserve">Table 3; Results; Methods. | Table 3, строка Malignant neoplasm of lung (C33–C34).</w:t>
      </w:r>
    </w:p>
    <w:p>
      <w:pPr>
        <w:pStyle w:val="SourceText"/>
      </w:pPr>
      <w:bookmarkStart w:id="25" w:name="source_7"/>
      <w:r>
        <w:t xml:space="preserve">[7] Hendryx M. Mortality from heart, respiratory, and kidney disease in coal mining areas of Appalachia. International archives of occupational and environmental health. 82(2). 243-249. 2009.</w:t>
      </w:r>
      <w:bookmarkEnd w:id="25"/>
    </w:p>
    <w:p>
      <w:pPr>
        <w:pStyle w:val="SourceNote"/>
      </w:pPr>
      <w:hyperlink r:id="url8">
        <w:r>
          <w:rPr>
            <w:rStyle w:val="Hyperlink"/>
          </w:rPr>
          <w:t>https://doi.org/10.1007/s00420-008-0328-y</w:t>
        </w:r>
      </w:hyperlink>
    </w:p>
    <w:p>
      <w:pPr>
        <w:pStyle w:val="SourceNote"/>
      </w:pPr>
      <w:r>
        <w:t xml:space="preserve">Table 1 — состав причин; Tables 2–3 — модели мужчин и женщин; печатные с. 245–247, PDF с. 3–5. | Tables 1–3; печатные с. 245–247, PDF с. 3–5.</w:t>
      </w:r>
    </w:p>
    <w:p>
      <w:pPr>
        <w:pStyle w:val="SourceText"/>
      </w:pPr>
      <w:bookmarkStart w:id="26" w:name="source_8"/>
      <w:r>
        <w:t xml:space="preserve">[8] Glass DC, Gwini SM, Monaco AD, Fritschi L, Abramson MJ, Sim MR, Walker-Bone K. Are mortality rates similar between jobs in the Queensland coal mine workers' cohort?. BMC public health. 25(1). 3004. 2025.</w:t>
      </w:r>
      <w:bookmarkEnd w:id="26"/>
    </w:p>
    <w:p>
      <w:pPr>
        <w:pStyle w:val="SourceNote"/>
      </w:pPr>
      <w:hyperlink r:id="url9">
        <w:r>
          <w:rPr>
            <w:rStyle w:val="Hyperlink"/>
          </w:rPr>
          <w:t>https://doi.org/10.1186/s12889-025-24163-4</w:t>
        </w:r>
      </w:hyperlink>
    </w:p>
    <w:p>
      <w:pPr>
        <w:pStyle w:val="SourceNote"/>
      </w:pPr>
      <w:r>
        <w:t xml:space="preserve">Abstract; Results, сравнения профессиональных групп по причинам смерти.</w:t>
      </w:r>
    </w:p>
    <w:p>
      <w:pPr>
        <w:pStyle w:val="SourceText"/>
      </w:pPr>
      <w:bookmarkStart w:id="27" w:name="source_9"/>
      <w:r>
        <w:t xml:space="preserve">[9] Fernández-Navarro P, García-Pérez J, Ramis R, Boldo E, López-Abente G. Proximity to mining industry and cancer mortality. The Science of the total environment. 435-436. 66-73. 2012.</w:t>
      </w:r>
      <w:bookmarkEnd w:id="27"/>
    </w:p>
    <w:p>
      <w:pPr>
        <w:pStyle w:val="SourceNote"/>
      </w:pPr>
      <w:hyperlink r:id="url10">
        <w:r>
          <w:rPr>
            <w:rStyle w:val="Hyperlink"/>
          </w:rPr>
          <w:t>https://doi.org/10.1016/j.scitotenv.2012.07.019</w:t>
        </w:r>
      </w:hyperlink>
    </w:p>
    <w:p>
      <w:pPr>
        <w:pStyle w:val="SourceNote"/>
      </w:pPr>
      <w:r>
        <w:t xml:space="preserve">Table 2, авторская версия PDF с. 41–44; числовая страница 42. Methods, PDF с. 14–20.</w:t>
      </w:r>
    </w:p>
    <w:p>
      <w:pPr>
        <w:pStyle w:val="SourceText"/>
      </w:pPr>
      <w:bookmarkStart w:id="28" w:name="source_10"/>
      <w:r>
        <w:t xml:space="preserve">[10] Eman KU, Kazi GN, Qin ZZ, Creswell J, Raisani SA, Lodhi UR, Vasquez NA, John S. Improving TB care services among coal mine workers and their associated communities in Pakistan. Public Health Action. 2025;15(3):129–134.</w:t>
      </w:r>
      <w:bookmarkEnd w:id="28"/>
    </w:p>
    <w:p>
      <w:pPr>
        <w:pStyle w:val="SourceNote"/>
      </w:pPr>
      <w:hyperlink r:id="url11">
        <w:r>
          <w:rPr>
            <w:rStyle w:val="Hyperlink"/>
          </w:rPr>
          <w:t>https://doi.org/10.5588/pha.25.0011</w:t>
        </w:r>
      </w:hyperlink>
    </w:p>
    <w:p>
      <w:pPr>
        <w:pStyle w:val="SourceNote"/>
      </w:pPr>
      <w:r>
        <w:t xml:space="preserve">Results; Table 1. | Methods; Results; Table 1.</w:t>
      </w:r>
    </w:p>
    <w:p>
      <w:pPr>
        <w:pStyle w:val="SourceText"/>
      </w:pPr>
      <w:bookmarkStart w:id="29" w:name="source_11"/>
      <w:r>
        <w:t xml:space="preserve">[11] Brabin B, Smith M, Milligan P, Benjamin C, Dunne E, Pearson M. Respiratory morbidity in Merseyside schoolchildren exposed to coal dust and air pollution. Archives of disease in childhood. 70(4). 305-312. 1994.</w:t>
      </w:r>
      <w:bookmarkEnd w:id="29"/>
    </w:p>
    <w:p>
      <w:pPr>
        <w:pStyle w:val="SourceNote"/>
      </w:pPr>
      <w:hyperlink r:id="url12">
        <w:r>
          <w:rPr>
            <w:rStyle w:val="Hyperlink"/>
          </w:rPr>
          <w:t>https://doi.org/10.1136/adc.70.4.305</w:t>
        </w:r>
      </w:hyperlink>
    </w:p>
    <w:p>
      <w:pPr>
        <w:pStyle w:val="SourceNote"/>
      </w:pPr>
      <w:r>
        <w:t xml:space="preserve">Methods, с. 306–307; результаты и регрессия с. 307–310; Table 7, с. 310 (PDF 6); Discussion, с. 310–312.</w:t>
      </w:r>
    </w:p>
    <w:p>
      <w:pPr>
        <w:pStyle w:val="SourceText"/>
      </w:pPr>
      <w:bookmarkStart w:id="30" w:name="source_12"/>
      <w:r>
        <w:t xml:space="preserve">[12] Obsan. Atemwegserkrankungen. Официальный набор данных; выгрузка 2026 года, использованы наблюдения до 2022 года.</w:t>
      </w:r>
      <w:bookmarkEnd w:id="30"/>
    </w:p>
    <w:p>
      <w:pPr>
        <w:pStyle w:val="SourceNote"/>
      </w:pPr>
      <w:hyperlink r:id="url13">
        <w:r>
          <w:rPr>
            <w:rStyle w:val="Hyperlink"/>
          </w:rPr>
          <w:t>https://ind.obsan.admin.ch/api/_131/kg/json</w:t>
        </w:r>
      </w:hyperlink>
    </w:p>
    <w:p>
      <w:pPr>
        <w:pStyle w:val="SourceNote"/>
      </w:pPr>
      <w:r>
        <w:t xml:space="preserve">data: kanton_nr=15/0; sex_id=0; year=2017; category_id=1 (астма), 2 (хронический бронхит / ХОБЛ / эмфизема). Поле value, проценты, без стандартизации; жители 15+ в частных домохозяйствах, сообщившие диагноз врача.</w:t>
      </w:r>
    </w:p>
    <w:p>
      <w:pPr>
        <w:pStyle w:val="SourceText"/>
      </w:pPr>
      <w:bookmarkStart w:id="31" w:name="source_13"/>
      <w:r>
        <w:t xml:space="preserve">[13] Torres Rey CH, Ibañez Pinilla M, Briceño Ayala L, Checa Guerrero DM, Morgan Torres G, Groot de Restrepo H, Varona Uribe M. Underground Coal Mining: Relationship between Coal Dust Levels and Pneumoconiosis, in Two Regions of Colombia, 2014. BioMed research international. 2015. 647878. 2015.</w:t>
      </w:r>
      <w:bookmarkEnd w:id="31"/>
    </w:p>
    <w:p>
      <w:pPr>
        <w:pStyle w:val="SourceNote"/>
      </w:pPr>
      <w:hyperlink r:id="url14">
        <w:r>
          <w:rPr>
            <w:rStyle w:val="Hyperlink"/>
          </w:rPr>
          <w:t>https://doi.org/10.1155/2015/647878</w:t>
        </w:r>
      </w:hyperlink>
    </w:p>
    <w:p>
      <w:pPr>
        <w:pStyle w:val="SourceNote"/>
      </w:pPr>
      <w:r>
        <w:t xml:space="preserve">Methods; Table 5</w:t>
      </w:r>
    </w:p>
    <w:p>
      <w:pPr>
        <w:pStyle w:val="SourceText"/>
      </w:pPr>
      <w:bookmarkStart w:id="32" w:name="source_14"/>
      <w:r>
        <w:t xml:space="preserve">[14] Kimura K, Ohtsuka Y, Kaji H, Nakano I, Sakai I, Itabashi K, Igarashi T, Okamoto K. Progression of pneumoconiosis in coal miners after cessation of dust exposure: a longitudinal study based on periodic chest X-ray examinations in Hokkaido, Japan. Internal medicine (Tokyo, Japan). 49(18). 1949-1956. 2010.</w:t>
      </w:r>
      <w:bookmarkEnd w:id="32"/>
    </w:p>
    <w:p>
      <w:pPr>
        <w:pStyle w:val="SourceNote"/>
      </w:pPr>
      <w:hyperlink r:id="url15">
        <w:r>
          <w:rPr>
            <w:rStyle w:val="Hyperlink"/>
          </w:rPr>
          <w:t>https://doi.org/10.2169/internalmedicine.49.2990</w:t>
        </w:r>
      </w:hyperlink>
    </w:p>
    <w:p>
      <w:pPr>
        <w:pStyle w:val="SourceNote"/>
      </w:pPr>
      <w:r>
        <w:t xml:space="preserve">Methods, с. 1949–1950; Table 2 и Figures 1–2, с. 1951–1952; Discussion, с. 1954–1955. PDF 1–7.</w:t>
      </w:r>
    </w:p>
    <w:p>
      <w:pPr>
        <w:pStyle w:val="SourceText"/>
      </w:pPr>
      <w:bookmarkStart w:id="33" w:name="source_15"/>
      <w:r>
        <w:t xml:space="preserve">[15] Graber JM, Stayner LT, Cohen RA, Conroy LM, Attfield MD.. Respiratory disease mortality among US coal miners; results after 37 years of follow-up.. Occupational and environmental medicine. 71(1). 30-39. 2014.</w:t>
      </w:r>
      <w:bookmarkEnd w:id="33"/>
    </w:p>
    <w:p>
      <w:pPr>
        <w:pStyle w:val="SourceNote"/>
      </w:pPr>
      <w:hyperlink r:id="url16">
        <w:r>
          <w:rPr>
            <w:rStyle w:val="Hyperlink"/>
          </w:rPr>
          <w:t>https://doi.org/10.1136/oemed-2013-101597</w:t>
        </w:r>
      </w:hyperlink>
    </w:p>
    <w:p>
      <w:pPr>
        <w:pStyle w:val="SourceNote"/>
      </w:pPr>
      <w:r>
        <w:t xml:space="preserve">Methods, Results, Tables 1–4 и примечание к Table 2; авторская рукопись CDC, 23 PDF-страницы. Corrigendum: Occup Environ Med 2014;71:738, https://oem.bmj.com/content/71/10/738.</w:t>
      </w:r>
    </w:p>
    <w:p>
      <w:pPr>
        <w:pStyle w:val="SourceText"/>
      </w:pPr>
      <w:bookmarkStart w:id="34" w:name="source_16"/>
      <w:r>
        <w:t xml:space="preserve">[16] Obsan. Akuter Myokardinfarkt. Официальный набор данных; выгрузка 2026 года, использованы наблюдения до 2022 года.</w:t>
      </w:r>
      <w:bookmarkEnd w:id="34"/>
    </w:p>
    <w:p>
      <w:pPr>
        <w:pStyle w:val="SourceNote"/>
      </w:pPr>
      <w:hyperlink r:id="url17">
        <w:r>
          <w:rPr>
            <w:rStyle w:val="Hyperlink"/>
          </w:rPr>
          <w:t>https://ind.obsan.admin.ch/api/_011/kg/json</w:t>
        </w:r>
      </w:hyperlink>
    </w:p>
    <w:p>
      <w:pPr>
        <w:pStyle w:val="SourceNote"/>
      </w:pPr>
      <w:r>
        <w:t xml:space="preserve">data: kanton_nr=15/0; sex_id=0; category_id=1; year=2017-21. standardised_rate и границы 95% ДИ. Госпитализации за вычетом умерших в стационаре плюс все смерти от инфаркта; ESP2010 (Eurostat 2013).</w:t>
      </w:r>
    </w:p>
    <w:p>
      <w:pPr>
        <w:pStyle w:val="SourceText"/>
      </w:pPr>
      <w:bookmarkStart w:id="35" w:name="source_17"/>
      <w:r>
        <w:t xml:space="preserve">[17] Obsan. Hirnschlag. Официальный набор данных; выгрузка 2026 года, использованы наблюдения до 2022 года.</w:t>
      </w:r>
      <w:bookmarkEnd w:id="35"/>
    </w:p>
    <w:p>
      <w:pPr>
        <w:pStyle w:val="SourceNote"/>
      </w:pPr>
      <w:hyperlink r:id="url18">
        <w:r>
          <w:rPr>
            <w:rStyle w:val="Hyperlink"/>
          </w:rPr>
          <w:t>https://ind.obsan.admin.ch/api/_013/kg/json</w:t>
        </w:r>
      </w:hyperlink>
    </w:p>
    <w:p>
      <w:pPr>
        <w:pStyle w:val="SourceNote"/>
      </w:pPr>
      <w:r>
        <w:t xml:space="preserve">data: kanton_nr=15/0; sex_id=0; category_id=1; year=2017-21. standardised_rate и границы 95% ДИ. Госпитализации за вычетом умерших в стационаре плюс все смерти от инсульта; ESP2010 (Eurostat 2013).</w:t>
      </w:r>
    </w:p>
    <w:p>
      <w:pPr>
        <w:pStyle w:val="SourceText"/>
      </w:pPr>
      <w:bookmarkStart w:id="36" w:name="source_18"/>
      <w:r>
        <w:t xml:space="preserve">[18] Bertrand JP, Chau N, Patris A, Mur JM, Pham QT, Moulin JJ, Morviller P, Auburtin G, Figueredo A, Martin J.. Mortality due to respiratory cancers in the coke oven plants of the Lorraine coalmining industry (Houillères du Bassin de Lorraine).. British journal of industrial medicine. 44(8). 559-565. 1987.</w:t>
      </w:r>
      <w:bookmarkEnd w:id="36"/>
    </w:p>
    <w:p>
      <w:pPr>
        <w:pStyle w:val="SourceNote"/>
      </w:pPr>
      <w:hyperlink r:id="url19">
        <w:r>
          <w:rPr>
            <w:rStyle w:val="Hyperlink"/>
          </w:rPr>
          <w:t>https://doi.org/10.1136/oem.44.8.559</w:t>
        </w:r>
      </w:hyperlink>
    </w:p>
    <w:p>
      <w:pPr>
        <w:pStyle w:val="SourceNote"/>
      </w:pPr>
      <w:r>
        <w:t xml:space="preserve">Methods, с. 560–561; Tables 4–6, с. 562; case-control и Discussion, с. 563–564. Локальный скан PDF 1–7.</w:t>
      </w:r>
    </w:p>
    <w:p>
      <w:pPr>
        <w:pStyle w:val="SourceText"/>
      </w:pPr>
      <w:bookmarkStart w:id="37" w:name="source_19"/>
      <w:r>
        <w:t xml:space="preserve">[19] Krebsregister Ostschweiz. Jahresbericht 2022. Кантональные таблицы Appenzell Ausserrhoden.</w:t>
      </w:r>
      <w:bookmarkEnd w:id="37"/>
    </w:p>
    <w:p>
      <w:pPr>
        <w:pStyle w:val="SourceNote"/>
      </w:pPr>
      <w:hyperlink r:id="url20">
        <w:r>
          <w:rPr>
            <w:rStyle w:val="Hyperlink"/>
          </w:rPr>
          <w:t>https://ostschweiz.krebsliga.ch/krebsregister-ostschweiz-forschung/publikationen/jahresberichte/-dl-/fileadmin/krebsliga_ostschweiz/downloads/jahresberichte/kr_JB_KROCH_2022_OCHFL.pdf</w:t>
        </w:r>
      </w:hyperlink>
    </w:p>
    <w:p>
      <w:pPr>
        <w:pStyle w:val="SourceNote"/>
      </w:pPr>
      <w:r>
        <w:t xml:space="preserve">PDF с. 111: заболеваемость 2017–2021; с. 112: смертность 2016–2020. C33–C34 — лёгкое/трахея; все локализации, кроме C44. С. 25: европейская стандартная популяция Waterhouse et al., 1976.</w:t>
      </w:r>
    </w:p>
    <w:p>
      <w:pPr>
        <w:pStyle w:val="SourceText"/>
      </w:pPr>
      <w:bookmarkStart w:id="38" w:name="source_20"/>
      <w:r>
        <w:t xml:space="preserve">[20] Ahern MM, Hendryx M, Conley J, Fedorko E, Ducatman A, Zullig KJ.. The association between mountaintop mining and birth defects among live births in central Appalachia, 1996-2003.. Environmental research. 111(6). 838-846. 2011.</w:t>
      </w:r>
      <w:bookmarkEnd w:id="38"/>
    </w:p>
    <w:p>
      <w:pPr>
        <w:pStyle w:val="SourceNote"/>
      </w:pPr>
      <w:hyperlink r:id="url21">
        <w:r>
          <w:rPr>
            <w:rStyle w:val="Hyperlink"/>
          </w:rPr>
          <w:t>https://doi.org/10.1016/j.envres.2011.05.019</w:t>
        </w:r>
      </w:hyperlink>
    </w:p>
    <w:p>
      <w:pPr>
        <w:pStyle w:val="SourceNote"/>
      </w:pPr>
      <w:r>
        <w:t xml:space="preserve">Methods, PDF 2–4; Tables 2–4, PDF 5; ограничения §4.2, PDF 7. Сохранена издательская proof-копия с собственной пагинацией 1–9.</w:t>
      </w:r>
    </w:p>
    <w:p>
      <w:pPr>
        <w:pStyle w:val="SourceText"/>
      </w:pPr>
      <w:bookmarkStart w:id="39" w:name="source_21"/>
      <w:r>
        <w:t xml:space="preserve">[21] Lamm SH, Li J, Robbins SA, Dissen E, Chen R, Feinleib M.. Are residents of mountain-top mining counties more likely to have infants with birth defects? The West Virginia experience.. Birth defects research. Part A, Clinical and molecular teratology. 103(2). 76-84. 2015.</w:t>
      </w:r>
      <w:bookmarkEnd w:id="39"/>
    </w:p>
    <w:p>
      <w:pPr>
        <w:pStyle w:val="SourceNote"/>
      </w:pPr>
      <w:hyperlink r:id="url22">
        <w:r>
          <w:rPr>
            <w:rStyle w:val="Hyperlink"/>
          </w:rPr>
          <w:t>https://doi.org/10.1002/bdra.23322</w:t>
        </w:r>
      </w:hyperlink>
    </w:p>
    <w:p>
      <w:pPr>
        <w:pStyle w:val="SourceNote"/>
      </w:pPr>
      <w:r>
        <w:t xml:space="preserve">С. 76–81 (PDF 1–6): Methods, Table 1, Results и Discussion. На с. 76 указана коррекция версии 15.12.2014.</w:t>
      </w:r>
    </w:p>
    <w:p>
      <w:pPr>
        <w:pStyle w:val="SourceText"/>
      </w:pPr>
      <w:bookmarkStart w:id="40" w:name="source_22"/>
      <w:r>
        <w:t xml:space="preserve">[22] BFS. Säuglingssterblichkeit nach Kanton. Исторические годовые показатели.</w:t>
      </w:r>
      <w:bookmarkEnd w:id="40"/>
    </w:p>
    <w:p>
      <w:pPr>
        <w:pStyle w:val="SourceNote"/>
      </w:pPr>
      <w:hyperlink r:id="url23">
        <w:r>
          <w:rPr>
            <w:rStyle w:val="Hyperlink"/>
          </w:rPr>
          <w:t>https://dam-api.bfs.admin.ch/hub/api/dam/assets/36837706/master</w:t>
        </w:r>
      </w:hyperlink>
    </w:p>
    <w:p>
      <w:pPr>
        <w:pStyle w:val="SourceNote"/>
      </w:pPr>
      <w:r>
        <w:t xml:space="preserve">Таблица: строка Schweiz (4) и Appenzell Ausserrhoden (19), столбцы 2019, 2020, 2021. Умершие до года на 1 000 живорождённых; расчёт на малых числах.</w:t>
      </w:r>
    </w:p>
    <w:p>
      <w:pPr>
        <w:pStyle w:val="SourceText"/>
      </w:pPr>
      <w:bookmarkStart w:id="41" w:name="source_23"/>
      <w:r>
        <w:t xml:space="preserve">[23] Управление Роспотребнадзора по Кемеровской области — Кузбассу. О состоянии санитарно-эпидемиологического благополучия населения в Кемеровской области — Кузбассе в 2024 году. 2024 (год на титульном листе).</w:t>
      </w:r>
      <w:bookmarkEnd w:id="41"/>
    </w:p>
    <w:p>
      <w:pPr>
        <w:pStyle w:val="SourceNote"/>
      </w:pPr>
      <w:hyperlink r:id="url24">
        <w:r>
          <w:rPr>
            <w:rStyle w:val="Hyperlink"/>
          </w:rPr>
          <w:t>https://42.rospotrebnadzor.ru/content/813/</w:t>
        </w:r>
      </w:hyperlink>
    </w:p>
    <w:p>
      <w:pPr>
        <w:pStyle w:val="SourceNote"/>
      </w:pPr>
      <w:r>
        <w:t xml:space="preserve">PDF с. 91 / печатная с. 90, таблица 72: младенческая смертность 2019–2021 — 6,2; 5,6; 5,5 на 1 000 живорождённых. PDF с. 97 / печатная с. 96, таблица 75: ожидаемая продолжительность жизни РФ и Кузбасса, 2019–2021. | PDF с. 164 / печатная с. 163, таблица 108: профзаболеваемость, B05 добыча угля, 2019–2021 — 56,25; 50,63; 50,30 на 10 000 работников. PDF с. 165 / печатная с. 164, таблица 109: 524; 421; 425 новых профессиональных заболеваний.</w:t>
      </w:r>
    </w:p>
    <w:p>
      <w:pPr>
        <w:pStyle w:val="SourceText"/>
      </w:pPr>
      <w:bookmarkStart w:id="42" w:name="source_24"/>
      <w:r>
        <w:t xml:space="preserve">[24] Yu W, Thurston GD. Reductions in Respiratory Hospital Visits after a Coal Coking Plant Closure: A Natural Experiment. American journal of respiratory and critical care medicine. 211(11). 2072-2085. 2025.</w:t>
      </w:r>
      <w:bookmarkEnd w:id="42"/>
    </w:p>
    <w:p>
      <w:pPr>
        <w:pStyle w:val="SourceNote"/>
      </w:pPr>
      <w:hyperlink r:id="url25">
        <w:r>
          <w:rPr>
            <w:rStyle w:val="Hyperlink"/>
          </w:rPr>
          <w:t>https://doi.org/10.1164/rccm.202410-2005oc</w:t>
        </w:r>
      </w:hyperlink>
    </w:p>
    <w:p>
      <w:pPr>
        <w:pStyle w:val="SourceNote"/>
      </w:pPr>
      <w:r>
        <w:t xml:space="preserve">Results; Table 4; Figure 5</w:t>
      </w:r>
    </w:p>
    <w:p>
      <w:pPr>
        <w:pStyle w:val="SourceText"/>
      </w:pPr>
      <w:bookmarkStart w:id="43" w:name="source_25"/>
      <w:r>
        <w:t xml:space="preserve">[25] Yu W, Thurston GD. An interrupted time series analysis of the cardiovascular health benefits of a coal coking operation closure. Environmental Research: Health. 1. 045002. 2023.</w:t>
      </w:r>
      <w:bookmarkEnd w:id="43"/>
    </w:p>
    <w:p>
      <w:pPr>
        <w:pStyle w:val="SourceNote"/>
      </w:pPr>
      <w:hyperlink r:id="url26">
        <w:r>
          <w:rPr>
            <w:rStyle w:val="Hyperlink"/>
          </w:rPr>
          <w:t>https://doi.org/10.1088/2752-5309/ace4ea</w:t>
        </w:r>
      </w:hyperlink>
    </w:p>
    <w:p>
      <w:pPr>
        <w:pStyle w:val="SourceNote"/>
      </w:pPr>
      <w:r>
        <w:t xml:space="preserve">PDF стр. 2, Abstract; Methods 2; Results и ограничения</w:t>
      </w:r>
    </w:p>
    <w:p>
      <w:pPr>
        <w:pStyle w:val="SourceText"/>
      </w:pPr>
      <w:bookmarkStart w:id="44" w:name="source_26"/>
      <w:r>
        <w:t xml:space="preserve">[26] Chakrabarti A, Saha I, Kalita M, Bhattacharya D, Haque B, Nagraj A, Mukherjee S, Benegal V. High prevalence of alcohol use disorder &amp; psychiatric comorbidity among coal mine workers: Observations from a cross-sectional study in West Bengal. The Indian journal of medical research. 160(1). 95-101. 2024.</w:t>
      </w:r>
      <w:bookmarkEnd w:id="44"/>
    </w:p>
    <w:p>
      <w:pPr>
        <w:pStyle w:val="SourceNote"/>
      </w:pPr>
      <w:hyperlink r:id="url27">
        <w:r>
          <w:rPr>
            <w:rStyle w:val="Hyperlink"/>
          </w:rPr>
          <w:t>https://doi.org/10.25259/ijmr_2407_23</w:t>
        </w:r>
      </w:hyperlink>
    </w:p>
    <w:p>
      <w:pPr>
        <w:pStyle w:val="SourceNote"/>
      </w:pPr>
      <w:r>
        <w:t xml:space="preserve">Methods, критерии включения; Table I и Table II.</w:t>
      </w:r>
    </w:p>
    <w:p>
      <w:pPr>
        <w:pStyle w:val="SourceText"/>
      </w:pPr>
      <w:bookmarkStart w:id="45" w:name="source_27"/>
      <w:r>
        <w:t xml:space="preserve">[27] Obsan. Gesundheit im Kanton Appenzell Ausserrhoden. Ergebnisse aus der Schweizerischen Gesundheitsbefragung 2017. Bericht 02/2019.</w:t>
      </w:r>
      <w:bookmarkEnd w:id="45"/>
    </w:p>
    <w:p>
      <w:pPr>
        <w:pStyle w:val="SourceNote"/>
      </w:pPr>
      <w:hyperlink r:id="url28">
        <w:r>
          <w:rPr>
            <w:rStyle w:val="Hyperlink"/>
          </w:rPr>
          <w:t>https://www.obsan.admin.ch/sites/default/files/obsan_bericht_02-2019-appenzell_ausserrhoden.pdf</w:t>
        </w:r>
      </w:hyperlink>
    </w:p>
    <w:p>
      <w:pPr>
        <w:pStyle w:val="SourceNote"/>
      </w:pPr>
      <w:r>
        <w:t xml:space="preserve">PDF с. 38 / печатная с. 36, таблица 2.19: умеренные и тяжёлые симптомы по PHQ-9; AR 7,8% (95% ДИ 5,2–10,3), n=601; CH 8,6% (8,1–9,1), n=18 230. Жители 15+ в частных домохозяйствах.</w:t>
      </w:r>
    </w:p>
    <w:p>
      <w:pPr>
        <w:pStyle w:val="SourceText"/>
      </w:pPr>
      <w:bookmarkStart w:id="46" w:name="source_28"/>
      <w:r>
        <w:t xml:space="preserve">[28] Glass DC, Gwini SM, Del Monaco A, Fritschi L, Abramson MJ, Sim MR, Walker-Bone K. Mortality and cancer incidence among Queensland coal mine workers: a retrospective cohort. Occupational and environmental medicine. 82(3). 120-127. 2025.</w:t>
      </w:r>
      <w:bookmarkEnd w:id="46"/>
    </w:p>
    <w:p>
      <w:pPr>
        <w:pStyle w:val="SourceNote"/>
      </w:pPr>
      <w:hyperlink r:id="url29">
        <w:r>
          <w:rPr>
            <w:rStyle w:val="Hyperlink"/>
          </w:rPr>
          <w:t>https://doi.org/10.1136/oemed-2024-109549</w:t>
        </w:r>
      </w:hyperlink>
    </w:p>
    <w:p>
      <w:pPr>
        <w:pStyle w:val="SourceNote"/>
      </w:pPr>
      <w:r>
        <w:t xml:space="preserve">Methods; Tables 2–3 Суициды: Table 2; Results: 2016–2020 и сравнение с Квинслендом.</w:t>
      </w:r>
    </w:p>
    <w:p>
      <w:pPr>
        <w:pStyle w:val="SourceText"/>
      </w:pPr>
      <w:bookmarkStart w:id="47" w:name="source_29"/>
      <w:r>
        <w:t xml:space="preserve">[29] Appalachian Regional Commission / NORC / East Tennessee State University. Appalachian Diseases of Despair. Update 2025. July 2025.</w:t>
      </w:r>
      <w:bookmarkEnd w:id="47"/>
    </w:p>
    <w:p>
      <w:pPr>
        <w:pStyle w:val="SourceNote"/>
      </w:pPr>
      <w:hyperlink r:id="url30">
        <w:r>
          <w:rPr>
            <w:rStyle w:val="Hyperlink"/>
          </w:rPr>
          <w:t>https://www.arc.gov/wp-content/uploads/2025/07/Appalachian-Diseases-of-Despair-Update-2025.pdf</w:t>
        </w:r>
      </w:hyperlink>
    </w:p>
    <w:p>
      <w:pPr>
        <w:pStyle w:val="SourceNote"/>
      </w:pPr>
      <w:r>
        <w:t xml:space="preserve">PDF с. 14 / печатная с. 10, Exhibit 6: 2021, возраст 15–64, стандартизованная смертность от суицида 21,0 в Аппалачии и 17,4 вне Аппалачии на 100 000. Использован только 2021; большой регион включает разные типы территорий.</w:t>
      </w:r>
    </w:p>
    <w:p>
      <w:pPr>
        <w:pStyle w:val="SourceText"/>
      </w:pPr>
      <w:bookmarkStart w:id="48" w:name="source_30"/>
      <w:r>
        <w:t xml:space="preserve">[30] Росстат / ЕМИСС. Смертность населения по причинам смерти, показатель №31270. Сохранённая выгрузка открытого зеркала НСЭД.</w:t>
      </w:r>
      <w:bookmarkEnd w:id="48"/>
    </w:p>
    <w:p>
      <w:pPr>
        <w:pStyle w:val="SourceNote"/>
      </w:pPr>
      <w:hyperlink r:id="url31">
        <w:r>
          <w:rPr>
            <w:rStyle w:val="Hyperlink"/>
          </w:rPr>
          <w:t>https://www.fedstat.ru/indicator/31270</w:t>
        </w:r>
      </w:hyperlink>
    </w:p>
    <w:p>
      <w:pPr>
        <w:pStyle w:val="SourceNote"/>
      </w:pPr>
      <w:r>
        <w:t xml:space="preserve">Зеркало https://repository.nsedc.ru/dataset/emiss_31270; код территории, причина смерти, «всё население», столбцы 2017–2021. Самоубийства X60–X84; прочие строки по кодам таблицы. Единица: на 100 000 населения. Прямая выгрузка ЕМИСС при проверке отвечала 403; происхождение и версия сохранены в метаданных.</w:t>
      </w:r>
    </w:p>
    <w:p>
      <w:pPr>
        <w:pStyle w:val="SourceText"/>
      </w:pPr>
      <w:bookmarkStart w:id="49" w:name="source_31"/>
      <w:r>
        <w:t xml:space="preserve">[31] Obsan. Suizid. Официальный кантональный набор данных.</w:t>
      </w:r>
      <w:bookmarkEnd w:id="49"/>
    </w:p>
    <w:p>
      <w:pPr>
        <w:pStyle w:val="SourceNote"/>
      </w:pPr>
      <w:hyperlink r:id="url32">
        <w:r>
          <w:rPr>
            <w:rStyle w:val="Hyperlink"/>
          </w:rPr>
          <w:t>https://ind.obsan.admin.ch/indicator/obsan/_010</w:t>
        </w:r>
      </w:hyperlink>
    </w:p>
    <w:p>
      <w:pPr>
        <w:pStyle w:val="SourceNote"/>
      </w:pPr>
      <w:r>
        <w:t xml:space="preserve">API https://ind.obsan.admin.ch/api/_010/kg/json; data: year=2017-21; kanton_nr=15/0; sex_id=0; category_id=1 — суициды без ассистированного ухода, 2 — ассистированный уход. n — среднегодовое число; crude_rate и standardised_rate — на 100 000. Полный период — пять лет.</w:t>
      </w:r>
    </w:p>
    <w:p>
      <w:pPr>
        <w:pStyle w:val="SourceText"/>
      </w:pPr>
      <w:bookmarkStart w:id="50" w:name="source_32"/>
      <w:r>
        <w:t xml:space="preserve">[32] Shaikh M.. The health legacy of coal mining: Analysis of mortality rates over time in England and Wales (1981-2019).. SSM - population health. 27. 101706. 2024.</w:t>
      </w:r>
      <w:bookmarkEnd w:id="50"/>
    </w:p>
    <w:p>
      <w:pPr>
        <w:pStyle w:val="SourceNote"/>
      </w:pPr>
      <w:hyperlink r:id="url33">
        <w:r>
          <w:rPr>
            <w:rStyle w:val="Hyperlink"/>
          </w:rPr>
          <w:t>https://doi.org/10.1016/j.ssmph.2024.101706</w:t>
        </w:r>
      </w:hyperlink>
    </w:p>
    <w:p>
      <w:pPr>
        <w:pStyle w:val="SourceNote"/>
      </w:pPr>
      <w:r>
        <w:t xml:space="preserve">Methods 2; Table 3, модели 1 и 7</w:t>
      </w:r>
    </w:p>
    <w:p>
      <w:pPr>
        <w:pStyle w:val="SourceText"/>
      </w:pPr>
      <w:bookmarkStart w:id="51" w:name="source_33"/>
      <w:r>
        <w:t xml:space="preserve">[33] Obsan. Lebenserwartung. Официальный набор данных; выгрузка 2026 года, использованы наблюдения до 2022 года.</w:t>
      </w:r>
      <w:bookmarkEnd w:id="51"/>
    </w:p>
    <w:p>
      <w:pPr>
        <w:pStyle w:val="SourceNote"/>
      </w:pPr>
      <w:hyperlink r:id="url34">
        <w:r>
          <w:rPr>
            <w:rStyle w:val="Hyperlink"/>
          </w:rPr>
          <w:t>https://ind.obsan.admin.ch/api/_001/kg/json</w:t>
        </w:r>
      </w:hyperlink>
    </w:p>
    <w:p>
      <w:pPr>
        <w:pStyle w:val="SourceNote"/>
      </w:pPr>
      <w:r>
        <w:t xml:space="preserve">data: kanton_nr=15 (AR), 0 (CH); category_id=1; sex_id=0/1/2; year=2019–2021. Ожидаемая продолжительность жизни при рождении, лет.</w:t>
      </w:r>
    </w:p>
    <w:p>
      <w:pPr>
        <w:pStyle w:val="SourceText"/>
      </w:pPr>
      <w:bookmarkStart w:id="52" w:name="source_34"/>
      <w:r>
        <w:t xml:space="preserve">[34] Obsan. Sterblichkeit. Официальный набор данных; выгрузка 2026 года, использованы наблюдения до 2022 года.</w:t>
      </w:r>
      <w:bookmarkEnd w:id="52"/>
    </w:p>
    <w:p>
      <w:pPr>
        <w:pStyle w:val="SourceNote"/>
      </w:pPr>
      <w:hyperlink r:id="url35">
        <w:r>
          <w:rPr>
            <w:rStyle w:val="Hyperlink"/>
          </w:rPr>
          <w:t>https://ind.obsan.admin.ch/api/_007/kg/json</w:t>
        </w:r>
      </w:hyperlink>
    </w:p>
    <w:p>
      <w:pPr>
        <w:pStyle w:val="SourceNote"/>
      </w:pPr>
      <w:r>
        <w:t xml:space="preserve">data: kanton_nr=15/0; sex_id=0; year=2021. crude_rate — грубый коэффициент; standardised_rate — европейский возрастной стандарт ESP2010 (Eurostat 2013); n — смерти.</w:t>
      </w:r>
    </w:p>
    <w:p>
      <w:pPr>
        <w:pStyle w:val="SourceText"/>
      </w:pPr>
      <w:bookmarkStart w:id="53" w:name="source_35"/>
      <w:r>
        <w:t xml:space="preserve">[35] Роспотребнадзор. Государственный доклад «О состоянии санитарно-эпидемиологического благополучия населения в Российской Федерации в 2020 году». М., 2021.</w:t>
      </w:r>
      <w:bookmarkEnd w:id="53"/>
    </w:p>
    <w:p>
      <w:pPr>
        <w:pStyle w:val="SourceNote"/>
      </w:pPr>
      <w:hyperlink r:id="url36">
        <w:r>
          <w:rPr>
            <w:rStyle w:val="Hyperlink"/>
          </w:rPr>
          <w:t>https://t-j.ru/media/gd-seb_0206-_s-podpisyu_.pdf</w:t>
        </w:r>
      </w:hyperlink>
    </w:p>
    <w:p>
      <w:pPr>
        <w:pStyle w:val="SourceNote"/>
      </w:pPr>
      <w:r>
        <w:t xml:space="preserve">С. 137, таблица 48: туберкулёз Кузбасс 72,28, РФ 32,07. С. 140, таблица 50: поражённость ВИЧ Кузбасс 1 998,6. Все коэффициенты на 100 000.</w:t>
      </w:r>
    </w:p>
    <w:p>
      <w:pPr>
        <w:pStyle w:val="SourceText"/>
      </w:pPr>
      <w:bookmarkStart w:id="54" w:name="source_36"/>
      <w:r>
        <w:t xml:space="preserve">[36] Роспотребнадзор. Государственный доклад «О состоянии санитарно-эпидемиологического благополучия населения в Российской Федерации в 2021 году». М., 2022.</w:t>
      </w:r>
      <w:bookmarkEnd w:id="54"/>
    </w:p>
    <w:p>
      <w:pPr>
        <w:pStyle w:val="SourceNote"/>
      </w:pPr>
      <w:hyperlink r:id="url37">
        <w:r>
          <w:rPr>
            <w:rStyle w:val="Hyperlink"/>
          </w:rPr>
          <w:t>https://xn--80aaoiec5a4aa9czf.xn--p1ai/documents/280/%D0%93%D0%BE%D1%81._%D0%B4%D0%BE%D0%BA%D0%BB%D0%B0%D0%B4_%D0%9E_%D1%81%D0%BE%D1%81%D1%82%D0%BE%D1%8F%D0%BD%D0%B8%D0%B8_%D1%81%D0%B0%D0%BD%D0%B8%D1%82%D0%B0%D1%80%D0%BD%D0%BE-%D1%8D%D0%BF%D0%B8%D0%B4%D0%B5%D0%BC%D0%B8%D0%BE%D0%BB%D0%BE%D0%B3%D0%B8%D1%87%D0%B5%D1%81%D0%BA%D0%BE%D0%B3%D0%BE_%D0%B1%D0%BB%D0%B0%D0%B3._%D0%BD%D0%B0%D1%81%D0%B5%D0%BB%D0%B5%D0%BD%D0%B8%D1%8F_%D0%B2_%D0%A0%D0%A4_%D0%B2_2021_%D0%B3%D0%BE%D0%B4%D1%83.pdf</w:t>
        </w:r>
      </w:hyperlink>
    </w:p>
    <w:p>
      <w:pPr>
        <w:pStyle w:val="SourceNote"/>
      </w:pPr>
      <w:r>
        <w:t xml:space="preserve">С. 182–183, таблица 1.50: туберкулёз Кузбасс 70,0, РФ 30,71. С. 184, таблица 1.52: новые случаи и поражённость ВИЧ, Кузбасс / Хакасия / РФ. Охват ФСИН в таблице туберкулёза отдельно не раскрыт.</w:t>
      </w:r>
    </w:p>
    <w:p>
      <w:pPr>
        <w:pStyle w:val="SourceText"/>
      </w:pPr>
      <w:bookmarkStart w:id="55" w:name="source_37"/>
      <w:r>
        <w:t xml:space="preserve">[37] BAG. Informationsportal übertragbare Krankheiten: туберкулёз. Обязательная регистрация, годовая заболеваемость.</w:t>
      </w:r>
      <w:bookmarkEnd w:id="55"/>
    </w:p>
    <w:p>
      <w:pPr>
        <w:pStyle w:val="SourceNote"/>
      </w:pPr>
      <w:hyperlink r:id="url38">
        <w:r>
          <w:rPr>
            <w:rStyle w:val="Hyperlink"/>
          </w:rPr>
          <w:t>https://www.idd.bag.admin.ch/en/diseases/tuberculosis/data</w:t>
        </w:r>
      </w:hyperlink>
    </w:p>
    <w:p>
      <w:pPr>
        <w:pStyle w:val="SourceNote"/>
      </w:pPr>
      <w:r>
        <w:t xml:space="preserve">Сохранены POST-запрос и ответ API /api/v1/data/tuberculosis/cases/incValue/year. country=CH, все половые/возрастные группы. Выбраны 2019–2021; источник mandatory_reporting_system. Доступные разрезы проверены по metadata/value-metadata: отдельного ряда AR в этом API нет.</w:t>
      </w:r>
    </w:p>
    <w:p>
      <w:pPr>
        <w:pStyle w:val="SourceText"/>
      </w:pPr>
      <w:bookmarkStart w:id="56" w:name="source_38"/>
      <w:r>
        <w:t xml:space="preserve">[38] ФНМЦ по профилактике и борьбе со СПИДом ЦНИИ эпидемиологии Роспотребнадзора. Справка «ВИЧ-инфекция в Российской Федерации в 2019 г.»</w:t>
      </w:r>
      <w:bookmarkEnd w:id="56"/>
    </w:p>
    <w:p>
      <w:pPr>
        <w:pStyle w:val="SourceNote"/>
      </w:pPr>
      <w:hyperlink r:id="url39">
        <w:r>
          <w:rPr>
            <w:rStyle w:val="Hyperlink"/>
          </w:rPr>
          <w:t>https://forum.hiv.plus/assets/uploads/files/1583139023176-vich-infektsiya-v-rossijskoj-federatsii-na-31.12.2019.pdf</w:t>
        </w:r>
      </w:hyperlink>
    </w:p>
    <w:p>
      <w:pPr>
        <w:pStyle w:val="SourceNote"/>
      </w:pPr>
      <w:r>
        <w:t xml:space="preserve">С. 1: новые случаи Кузбасс 179,5, РФ 64,5; живущие с ВИЧ в Кузбассе 1 934,9 на 100 000; данные названы предварительными.</w:t>
      </w:r>
    </w:p>
    <w:p>
      <w:pPr>
        <w:pStyle w:val="SourceText"/>
      </w:pPr>
      <w:bookmarkStart w:id="57" w:name="source_39"/>
      <w:r>
        <w:t xml:space="preserve">[39] Obsan / Kanton Appenzell Ausserrhoden. Gesundheitsbericht Appenzell Ausserrhoden 2021. Obsan Bericht 02/2021.</w:t>
      </w:r>
      <w:bookmarkEnd w:id="57"/>
    </w:p>
    <w:p>
      <w:pPr>
        <w:pStyle w:val="SourceNote"/>
      </w:pPr>
      <w:hyperlink r:id="url40">
        <w:r>
          <w:rPr>
            <w:rStyle w:val="Hyperlink"/>
          </w:rPr>
          <w:t>https://www.obsan.admin.ch/sites/default/files/obsan_02_2021_bericht_ar_1.pdf</w:t>
        </w:r>
      </w:hyperlink>
    </w:p>
    <w:p>
      <w:pPr>
        <w:pStyle w:val="SourceNote"/>
      </w:pPr>
      <w:r>
        <w:t xml:space="preserve">PDF с. 43, G12: 55 445 постоянных жителей на конец 2019; PDF с. 102, раздел 7.6: по одному новому сообщению о ВИЧ в каждом из 2016–2019 годов. 1 / 55 445 × 100 000 = 1,8036 — расчёт статьи.</w:t>
      </w:r>
    </w:p>
    <w:p>
      <w:pPr>
        <w:pStyle w:val="SourceText"/>
      </w:pPr>
      <w:bookmarkStart w:id="58" w:name="source_40"/>
      <w:r>
        <w:t xml:space="preserve">[40] BAG. Informationsportal übertragbare Krankheiten: ВИЧ. Обязательная регистрация, годовая заболеваемость.</w:t>
      </w:r>
      <w:bookmarkEnd w:id="58"/>
    </w:p>
    <w:p>
      <w:pPr>
        <w:pStyle w:val="SourceNote"/>
      </w:pPr>
      <w:hyperlink r:id="url41">
        <w:r>
          <w:rPr>
            <w:rStyle w:val="Hyperlink"/>
          </w:rPr>
          <w:t>https://www.idd.bag.admin.ch/en/diseases/hiv/data</w:t>
        </w:r>
      </w:hyperlink>
    </w:p>
    <w:p>
      <w:pPr>
        <w:pStyle w:val="SourceNote"/>
      </w:pPr>
      <w:r>
        <w:t xml:space="preserve">Сохранены POST-запрос и ответ API /api/v1/data/hiv/cases/incValue/year. country=CH, все половые/возрастные группы. Выбраны 2019–2021; источник mandatory_reporting_system. Доступные разрезы проверены по metadata/value-metadata: отдельного ряда AR в этом API нет.</w:t>
      </w:r>
    </w:p>
    <w:p>
      <w:pPr>
        <w:pStyle w:val="SourceText"/>
      </w:pPr>
      <w:bookmarkStart w:id="59" w:name="source_41"/>
      <w:r>
        <w:t xml:space="preserve">[41] Министерство здравоохранения Республики Тыва. Доклад об итогах деятельности за 2017 год.</w:t>
      </w:r>
      <w:bookmarkEnd w:id="59"/>
    </w:p>
    <w:p>
      <w:pPr>
        <w:pStyle w:val="SourceNote"/>
      </w:pPr>
      <w:hyperlink r:id="url42">
        <w:r>
          <w:rPr>
            <w:rStyle w:val="Hyperlink"/>
          </w:rPr>
          <w:t>https://minzdravtuva.ru/images/2017%D0%B3pdf.pdf</w:t>
        </w:r>
      </w:hyperlink>
    </w:p>
    <w:p>
      <w:pPr>
        <w:pStyle w:val="SourceNote"/>
      </w:pPr>
      <w:r>
        <w:t xml:space="preserve">PDF с. 9 / печатная с. 6: комментарий о классификации причин смерти с неопределёнными намерениями; PDF с. 10, таблица 7. Суициды 2017 — 5,6 на 100 000; повреждения с неопределёнными намерениями — 90,3.</w:t>
      </w:r>
    </w:p>
    <w:p>
      <w:pPr>
        <w:pStyle w:val="SourceText"/>
      </w:pPr>
      <w:bookmarkStart w:id="60" w:name="source_42"/>
      <w:r>
        <w:t xml:space="preserve">[42] ФНМЦ по профилактике и борьбе со СПИДом. ВИЧ-инфекция. Информационный бюллетень №47. Данные за 2021 год. 2023.</w:t>
      </w:r>
      <w:bookmarkEnd w:id="60"/>
    </w:p>
    <w:p>
      <w:pPr>
        <w:pStyle w:val="SourceNote"/>
      </w:pPr>
      <w:hyperlink r:id="url43">
        <w:r>
          <w:rPr>
            <w:rStyle w:val="Hyperlink"/>
          </w:rPr>
          <w:t>https://hivhub.ru/wp-content/uploads/2023/05/byulleten-47-vich-infektsiya-za-2021-g.pdf</w:t>
        </w:r>
      </w:hyperlink>
    </w:p>
    <w:p>
      <w:pPr>
        <w:pStyle w:val="SourceNote"/>
      </w:pPr>
      <w:r>
        <w:t xml:space="preserve">Таблица, PDF с. 70–71 / печатные с. 69–70: вариант поражённости Кузбасса 2 003,6 (2020), 2 027,3 (2021); 52 796 человек и население 2 604 272. Не подменяет опубликованные значения федеральных докладов; сохранён для сверки версий.</w:t>
      </w:r>
    </w:p>
    <w:sectPr>
      <w:footerReference w:type="default" r:id="footer"/>
      <w:pgSz w:w="11906" w:h="16838"/>
      <w:pgMar w:top="1134" w:right="1134" w:bottom="1134" w:left="1134" w:header="567" w:footer="567"/>
    </w:sectPr>
  </w:body>
</w:document>
</file>

<file path=word/footer1.xml><?xml version="1.0" encoding="utf-8"?>
<w:ftr xmlns:w="http://schemas.openxmlformats.org/wordprocessingml/2006/main">
  <w:p>
    <w:pPr>
      <w:jc w:val="center"/>
    </w:pPr>
    <w:r>
      <w:rPr>
        <w:sz w:val="18"/>
      </w:rPr>
      <w:t>Наталья Зубкова · RU V0.7 · для просмотра · </w:t>
    </w:r>
    <w:fldSimple w:instr="PAGE"/>
  </w:p>
</w:ftr>
</file>

<file path=word/styles.xml><?xml version="1.0" encoding="utf-8"?>
<w:styles xmlns:w="http://schemas.openxmlformats.org/wordprocessingml/2006/main">
  <w:docDefaults>
    <w:rPrDefault>
      <w:rPr>
        <w:rFonts w:ascii="Georgia" w:hAnsi="Georgia" w:cs="Georgia"/>
        <w:sz w:val="24"/>
        <w:lang w:val="ru-RU"/>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pPr>
    <w:rPr>
      <w:sz w:val="42"/>
      <w:b/>
    </w:rPr>
  </w:style>
  <w:style w:type="paragraph" w:styleId="Subtitle">
    <w:name w:val="Subtitle"/>
    <w:basedOn w:val="Normal"/>
    <w:pPr>
      <w:keepNext/>
    </w:pPr>
    <w:rPr>
      <w:sz w:val="27"/>
    </w:rPr>
  </w:style>
  <w:style w:type="paragraph" w:styleId="Edition">
    <w:name w:val="Edition"/>
    <w:basedOn w:val="Normal"/>
    <w:pPr>
      <w:spacing w:after="300"/>
    </w:pPr>
    <w:rPr>
      <w:sz w:val="21"/>
      <w:color w:val="596B63"/>
    </w:rPr>
  </w:style>
  <w:style w:type="paragraph" w:styleId="Heading1">
    <w:name w:val="heading 1"/>
    <w:basedOn w:val="Normal"/>
    <w:pPr>
      <w:keepNext/>
      <w:outlineLvl w:val="0"/>
      <w:spacing w:before="300" w:after="180"/>
    </w:pPr>
    <w:rPr>
      <w:sz w:val="32"/>
      <w:b/>
      <w:color w:val="234D42"/>
    </w:rPr>
  </w:style>
  <w:style w:type="paragraph" w:styleId="Caption">
    <w:name w:val="Caption"/>
    <w:basedOn w:val="Normal"/>
    <w:pPr>
      <w:keepNext/>
    </w:pPr>
    <w:rPr>
      <w:sz w:val="23"/>
      <w:b/>
    </w:rPr>
  </w:style>
  <w:style w:type="paragraph" w:styleId="TableHeading">
    <w:name w:val="Table Heading"/>
    <w:basedOn w:val="Normal"/>
    <w:pPr/>
    <w:rPr>
      <w:sz w:val="24"/>
      <w:b/>
    </w:rPr>
  </w:style>
  <w:style w:type="paragraph" w:styleId="TableText">
    <w:name w:val="Table Text"/>
    <w:basedOn w:val="Normal"/>
    <w:pPr/>
    <w:rPr>
      <w:sz w:val="24"/>
    </w:rPr>
  </w:style>
  <w:style w:type="paragraph" w:styleId="SourceText">
    <w:name w:val="Source Text"/>
    <w:basedOn w:val="Normal"/>
    <w:pPr>
      <w:keepNext/>
    </w:pPr>
    <w:rPr>
      <w:sz w:val="22"/>
    </w:rPr>
  </w:style>
  <w:style w:type="paragraph" w:styleId="SourceNote">
    <w:name w:val="Source Note"/>
    <w:basedOn w:val="Normal"/>
    <w:pPr/>
    <w:rPr>
      <w:sz w:val="21"/>
      <w:color w:val="596B63"/>
    </w:rPr>
  </w:style>
  <w:style w:type="character" w:styleId="Hyperlink">
    <w:name w:val="Hyperlink"/>
    <w:rPr>
      <w:color w:val="17685C"/>
      <w:u w:val="single"/>
    </w:rPr>
  </w:style>
</w:styles>
</file>

<file path=word/_rels/document.xml.rel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1.xml"/><Relationship Id="url2" Type="http://schemas.openxmlformats.org/officeDocument/2006/relationships/hyperlink" Target="https://mirtrade.ch/about-company/" TargetMode="External"/><Relationship Id="url3" Type="http://schemas.openxmlformats.org/officeDocument/2006/relationships/hyperlink" Target="https://mirtrade.ch/sales-structure/" TargetMode="External"/><Relationship Id="url4" Type="http://schemas.openxmlformats.org/officeDocument/2006/relationships/hyperlink" Target="https://www.investegate.co.uk/announcement/rns/hargreaves-services--hsp/interim-results/2019077" TargetMode="External"/><Relationship Id="url5" Type="http://schemas.openxmlformats.org/officeDocument/2006/relationships/hyperlink" Target="https://doi.org/10.1186/1471-2458-7-17" TargetMode="External"/><Relationship Id="url6" Type="http://schemas.openxmlformats.org/officeDocument/2006/relationships/hyperlink" Target="https://nopr.niscpr.res.in/handle/123456789/33774" TargetMode="External"/><Relationship Id="url7" Type="http://schemas.openxmlformats.org/officeDocument/2006/relationships/hyperlink" Target="https://doi.org/10.3390/ijerph14030269" TargetMode="External"/><Relationship Id="url8" Type="http://schemas.openxmlformats.org/officeDocument/2006/relationships/hyperlink" Target="https://doi.org/10.1007/s00420-008-0328-y" TargetMode="External"/><Relationship Id="url9" Type="http://schemas.openxmlformats.org/officeDocument/2006/relationships/hyperlink" Target="https://doi.org/10.1186/s12889-025-24163-4" TargetMode="External"/><Relationship Id="url10" Type="http://schemas.openxmlformats.org/officeDocument/2006/relationships/hyperlink" Target="https://doi.org/10.1016/j.scitotenv.2012.07.019" TargetMode="External"/><Relationship Id="url11" Type="http://schemas.openxmlformats.org/officeDocument/2006/relationships/hyperlink" Target="https://doi.org/10.5588/pha.25.0011" TargetMode="External"/><Relationship Id="url12" Type="http://schemas.openxmlformats.org/officeDocument/2006/relationships/hyperlink" Target="https://doi.org/10.1136/adc.70.4.305" TargetMode="External"/><Relationship Id="url13" Type="http://schemas.openxmlformats.org/officeDocument/2006/relationships/hyperlink" Target="https://ind.obsan.admin.ch/api/_131/kg/json" TargetMode="External"/><Relationship Id="url14" Type="http://schemas.openxmlformats.org/officeDocument/2006/relationships/hyperlink" Target="https://doi.org/10.1155/2015/647878" TargetMode="External"/><Relationship Id="url15" Type="http://schemas.openxmlformats.org/officeDocument/2006/relationships/hyperlink" Target="https://doi.org/10.2169/internalmedicine.49.2990" TargetMode="External"/><Relationship Id="url16" Type="http://schemas.openxmlformats.org/officeDocument/2006/relationships/hyperlink" Target="https://doi.org/10.1136/oemed-2013-101597" TargetMode="External"/><Relationship Id="url17" Type="http://schemas.openxmlformats.org/officeDocument/2006/relationships/hyperlink" Target="https://ind.obsan.admin.ch/api/_011/kg/json" TargetMode="External"/><Relationship Id="url18" Type="http://schemas.openxmlformats.org/officeDocument/2006/relationships/hyperlink" Target="https://ind.obsan.admin.ch/api/_013/kg/json" TargetMode="External"/><Relationship Id="url19" Type="http://schemas.openxmlformats.org/officeDocument/2006/relationships/hyperlink" Target="https://doi.org/10.1136/oem.44.8.559" TargetMode="External"/><Relationship Id="url20" Type="http://schemas.openxmlformats.org/officeDocument/2006/relationships/hyperlink" Target="https://ostschweiz.krebsliga.ch/krebsregister-ostschweiz-forschung/publikationen/jahresberichte/-dl-/fileadmin/krebsliga_ostschweiz/downloads/jahresberichte/kr_JB_KROCH_2022_OCHFL.pdf" TargetMode="External"/><Relationship Id="url21" Type="http://schemas.openxmlformats.org/officeDocument/2006/relationships/hyperlink" Target="https://doi.org/10.1016/j.envres.2011.05.019" TargetMode="External"/><Relationship Id="url22" Type="http://schemas.openxmlformats.org/officeDocument/2006/relationships/hyperlink" Target="https://doi.org/10.1002/bdra.23322" TargetMode="External"/><Relationship Id="url23" Type="http://schemas.openxmlformats.org/officeDocument/2006/relationships/hyperlink" Target="https://dam-api.bfs.admin.ch/hub/api/dam/assets/36837706/master" TargetMode="External"/><Relationship Id="url24" Type="http://schemas.openxmlformats.org/officeDocument/2006/relationships/hyperlink" Target="https://42.rospotrebnadzor.ru/content/813/" TargetMode="External"/><Relationship Id="url25" Type="http://schemas.openxmlformats.org/officeDocument/2006/relationships/hyperlink" Target="https://doi.org/10.1164/rccm.202410-2005oc" TargetMode="External"/><Relationship Id="url26" Type="http://schemas.openxmlformats.org/officeDocument/2006/relationships/hyperlink" Target="https://doi.org/10.1088/2752-5309/ace4ea" TargetMode="External"/><Relationship Id="url27" Type="http://schemas.openxmlformats.org/officeDocument/2006/relationships/hyperlink" Target="https://doi.org/10.25259/ijmr_2407_23" TargetMode="External"/><Relationship Id="url28" Type="http://schemas.openxmlformats.org/officeDocument/2006/relationships/hyperlink" Target="https://www.obsan.admin.ch/sites/default/files/obsan_bericht_02-2019-appenzell_ausserrhoden.pdf" TargetMode="External"/><Relationship Id="url29" Type="http://schemas.openxmlformats.org/officeDocument/2006/relationships/hyperlink" Target="https://doi.org/10.1136/oemed-2024-109549" TargetMode="External"/><Relationship Id="url30" Type="http://schemas.openxmlformats.org/officeDocument/2006/relationships/hyperlink" Target="https://www.arc.gov/wp-content/uploads/2025/07/Appalachian-Diseases-of-Despair-Update-2025.pdf" TargetMode="External"/><Relationship Id="url31" Type="http://schemas.openxmlformats.org/officeDocument/2006/relationships/hyperlink" Target="https://www.fedstat.ru/indicator/31270" TargetMode="External"/><Relationship Id="url32" Type="http://schemas.openxmlformats.org/officeDocument/2006/relationships/hyperlink" Target="https://ind.obsan.admin.ch/indicator/obsan/_010" TargetMode="External"/><Relationship Id="url33" Type="http://schemas.openxmlformats.org/officeDocument/2006/relationships/hyperlink" Target="https://doi.org/10.1016/j.ssmph.2024.101706" TargetMode="External"/><Relationship Id="url34" Type="http://schemas.openxmlformats.org/officeDocument/2006/relationships/hyperlink" Target="https://ind.obsan.admin.ch/api/_001/kg/json" TargetMode="External"/><Relationship Id="url35" Type="http://schemas.openxmlformats.org/officeDocument/2006/relationships/hyperlink" Target="https://ind.obsan.admin.ch/api/_007/kg/json" TargetMode="External"/><Relationship Id="url36" Type="http://schemas.openxmlformats.org/officeDocument/2006/relationships/hyperlink" Target="https://t-j.ru/media/gd-seb_0206-_s-podpisyu_.pdf" TargetMode="External"/><Relationship Id="url37" Type="http://schemas.openxmlformats.org/officeDocument/2006/relationships/hyperlink" Target="https://xn--80aaoiec5a4aa9czf.xn--p1ai/documents/280/%D0%93%D0%BE%D1%81._%D0%B4%D0%BE%D0%BA%D0%BB%D0%B0%D0%B4_%D0%9E_%D1%81%D0%BE%D1%81%D1%82%D0%BE%D1%8F%D0%BD%D0%B8%D0%B8_%D1%81%D0%B0%D0%BD%D0%B8%D1%82%D0%B0%D1%80%D0%BD%D0%BE-%D1%8D%D0%BF%D0%B8%D0%B4%D0%B5%D0%BC%D0%B8%D0%BE%D0%BB%D0%BE%D0%B3%D0%B8%D1%87%D0%B5%D1%81%D0%BA%D0%BE%D0%B3%D0%BE_%D0%B1%D0%BB%D0%B0%D0%B3._%D0%BD%D0%B0%D1%81%D0%B5%D0%BB%D0%B5%D0%BD%D0%B8%D1%8F_%D0%B2_%D0%A0%D0%A4_%D0%B2_2021_%D0%B3%D0%BE%D0%B4%D1%83.pdf" TargetMode="External"/><Relationship Id="url38" Type="http://schemas.openxmlformats.org/officeDocument/2006/relationships/hyperlink" Target="https://www.idd.bag.admin.ch/en/diseases/tuberculosis/data" TargetMode="External"/><Relationship Id="url39" Type="http://schemas.openxmlformats.org/officeDocument/2006/relationships/hyperlink" Target="https://forum.hiv.plus/assets/uploads/files/1583139023176-vich-infektsiya-v-rossijskoj-federatsii-na-31.12.2019.pdf" TargetMode="External"/><Relationship Id="url40" Type="http://schemas.openxmlformats.org/officeDocument/2006/relationships/hyperlink" Target="https://www.obsan.admin.ch/sites/default/files/obsan_02_2021_bericht_ar_1.pdf" TargetMode="External"/><Relationship Id="url41" Type="http://schemas.openxmlformats.org/officeDocument/2006/relationships/hyperlink" Target="https://www.idd.bag.admin.ch/en/diseases/hiv/data" TargetMode="External"/><Relationship Id="url42" Type="http://schemas.openxmlformats.org/officeDocument/2006/relationships/hyperlink" Target="https://minzdravtuva.ru/images/2017%D0%B3pdf.pdf" TargetMode="External"/><Relationship Id="url43" Type="http://schemas.openxmlformats.org/officeDocument/2006/relationships/hyperlink" Target="https://hivhub.ru/wp-content/uploads/2023/05/byulleten-47-vich-infektsiya-za-2021-g.pdf" TargetMode="External"/></Relationships>
</file>

<file path=docProps/core.xml><?xml version="1.0" encoding="utf-8"?>
<cp:coreProperties xmlns:cp="http://schemas.openxmlformats.org/package/2006/metadata/core-properties" xmlns:dc="http://purl.org/dc/elements/1.1/">
  <dc:title>Здоровье по обе стороны угля</dc:title>
  <dc:creator>Наталья Зубкова</dc:creator>
  <dc:description>RU V0.7 · для просмотра</dc:description>
</cp:coreProperties>
</file>